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10" w:name="_GoBack"/>
      <w:bookmarkEnd w:id="10"/>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ADDIN CNKISM.UserStyle</w:instrText>
      </w:r>
      <w:r>
        <w:rPr>
          <w:rFonts w:hint="eastAsia" w:ascii="黑体" w:hAnsi="黑体" w:eastAsia="黑体" w:cs="黑体"/>
          <w:sz w:val="32"/>
          <w:szCs w:val="32"/>
        </w:rPr>
        <w:fldChar w:fldCharType="end"/>
      </w:r>
      <w:r>
        <w:rPr>
          <w:rFonts w:hint="eastAsia" w:ascii="黑体" w:hAnsi="黑体" w:eastAsia="黑体" w:cs="黑体"/>
          <w:sz w:val="32"/>
          <w:szCs w:val="32"/>
        </w:rPr>
        <w:t>附件2</w:t>
      </w:r>
    </w:p>
    <w:p>
      <w:pPr>
        <w:keepNext/>
        <w:keepLines/>
        <w:spacing w:before="260" w:after="260" w:line="416" w:lineRule="auto"/>
        <w:jc w:val="center"/>
        <w:outlineLvl w:val="1"/>
        <w:rPr>
          <w:rFonts w:eastAsia="方正小标宋简体"/>
          <w:sz w:val="44"/>
          <w:szCs w:val="44"/>
        </w:rPr>
      </w:pPr>
      <w:r>
        <w:rPr>
          <w:rFonts w:hint="eastAsia" w:eastAsia="方正小标宋简体"/>
          <w:sz w:val="44"/>
          <w:szCs w:val="44"/>
        </w:rPr>
        <w:t>非处方药说明书范本</w:t>
      </w:r>
    </w:p>
    <w:p>
      <w:pPr>
        <w:keepNext/>
        <w:keepLines/>
        <w:spacing w:before="260" w:after="260" w:line="416" w:lineRule="auto"/>
        <w:jc w:val="center"/>
        <w:outlineLvl w:val="1"/>
        <w:rPr>
          <w:b/>
          <w:sz w:val="30"/>
          <w:szCs w:val="20"/>
        </w:rPr>
      </w:pPr>
      <w:r>
        <w:rPr>
          <w:rFonts w:hint="eastAsia"/>
          <w:b/>
          <w:sz w:val="30"/>
          <w:szCs w:val="20"/>
        </w:rPr>
        <w:t>奥</w:t>
      </w:r>
      <w:r>
        <w:rPr>
          <w:b/>
          <w:sz w:val="30"/>
          <w:szCs w:val="20"/>
        </w:rPr>
        <w:t>美拉唑肠溶片说明书</w:t>
      </w:r>
    </w:p>
    <w:p>
      <w:pPr>
        <w:spacing w:line="360" w:lineRule="exact"/>
        <w:ind w:right="45"/>
        <w:jc w:val="center"/>
        <w:rPr>
          <w:szCs w:val="21"/>
        </w:rPr>
      </w:pPr>
      <w:r>
        <w:rPr>
          <w:szCs w:val="21"/>
        </w:rPr>
        <w:t>请仔细阅读说明书并按说明使用或在药师指导下购买和使用</w:t>
      </w:r>
    </w:p>
    <w:p>
      <w:pPr>
        <w:spacing w:line="260" w:lineRule="exact"/>
        <w:jc w:val="center"/>
        <w:rPr>
          <w:sz w:val="24"/>
        </w:rPr>
      </w:pPr>
    </w:p>
    <w:p>
      <w:pPr>
        <w:spacing w:line="260" w:lineRule="exact"/>
        <w:jc w:val="center"/>
        <w:rPr>
          <w:sz w:val="24"/>
        </w:rPr>
      </w:pPr>
    </w:p>
    <w:p>
      <w:pPr>
        <w:spacing w:line="360" w:lineRule="exact"/>
        <w:rPr>
          <w:szCs w:val="21"/>
        </w:rPr>
      </w:pPr>
      <w:r>
        <w:rPr>
          <w:szCs w:val="21"/>
        </w:rPr>
        <w:t>【</w:t>
      </w:r>
      <w:r>
        <w:rPr>
          <w:b/>
          <w:bCs/>
          <w:szCs w:val="21"/>
        </w:rPr>
        <w:t>药品名称</w:t>
      </w:r>
      <w:r>
        <w:rPr>
          <w:szCs w:val="21"/>
        </w:rPr>
        <w:t>】</w:t>
      </w:r>
    </w:p>
    <w:p>
      <w:pPr>
        <w:spacing w:line="360" w:lineRule="exact"/>
        <w:ind w:firstLine="420" w:firstLineChars="200"/>
        <w:rPr>
          <w:szCs w:val="21"/>
        </w:rPr>
      </w:pPr>
      <w:r>
        <w:rPr>
          <w:b/>
          <w:bCs/>
          <w:szCs w:val="21"/>
        </w:rPr>
        <w:t>通用名称</w:t>
      </w:r>
      <w:r>
        <w:rPr>
          <w:szCs w:val="21"/>
        </w:rPr>
        <w:t xml:space="preserve">：奥美拉唑肠溶片 </w:t>
      </w:r>
    </w:p>
    <w:p>
      <w:pPr>
        <w:spacing w:line="360" w:lineRule="exact"/>
        <w:ind w:right="45" w:firstLine="420" w:firstLineChars="200"/>
        <w:rPr>
          <w:szCs w:val="21"/>
        </w:rPr>
      </w:pPr>
      <w:r>
        <w:rPr>
          <w:b/>
          <w:bCs/>
          <w:szCs w:val="21"/>
        </w:rPr>
        <w:t>英文名称：</w:t>
      </w:r>
    </w:p>
    <w:p>
      <w:pPr>
        <w:spacing w:line="360" w:lineRule="exact"/>
        <w:ind w:firstLine="420" w:firstLineChars="200"/>
        <w:rPr>
          <w:szCs w:val="21"/>
        </w:rPr>
      </w:pPr>
      <w:r>
        <w:rPr>
          <w:b/>
          <w:bCs/>
          <w:szCs w:val="21"/>
        </w:rPr>
        <w:t>汉语拼音：</w:t>
      </w:r>
      <w:r>
        <w:rPr>
          <w:szCs w:val="21"/>
        </w:rPr>
        <w:t xml:space="preserve"> </w:t>
      </w:r>
    </w:p>
    <w:p>
      <w:pPr>
        <w:spacing w:line="360" w:lineRule="exact"/>
        <w:ind w:right="45"/>
        <w:rPr>
          <w:szCs w:val="21"/>
        </w:rPr>
      </w:pPr>
      <w:r>
        <w:rPr>
          <w:color w:val="000000"/>
          <w:szCs w:val="21"/>
        </w:rPr>
        <w:t>【</w:t>
      </w:r>
      <w:r>
        <w:rPr>
          <w:b/>
          <w:bCs/>
          <w:color w:val="000000"/>
          <w:szCs w:val="21"/>
        </w:rPr>
        <w:t>成份</w:t>
      </w:r>
      <w:r>
        <w:rPr>
          <w:color w:val="000000"/>
          <w:szCs w:val="21"/>
        </w:rPr>
        <w:t>】</w:t>
      </w:r>
    </w:p>
    <w:p>
      <w:pPr>
        <w:spacing w:line="360" w:lineRule="exact"/>
        <w:rPr>
          <w:szCs w:val="21"/>
        </w:rPr>
      </w:pPr>
      <w:r>
        <w:rPr>
          <w:szCs w:val="21"/>
        </w:rPr>
        <w:t>【</w:t>
      </w:r>
      <w:r>
        <w:rPr>
          <w:b/>
          <w:bCs/>
          <w:szCs w:val="21"/>
        </w:rPr>
        <w:t>性状</w:t>
      </w:r>
      <w:r>
        <w:rPr>
          <w:szCs w:val="21"/>
        </w:rPr>
        <w:t>】</w:t>
      </w:r>
    </w:p>
    <w:p>
      <w:pPr>
        <w:spacing w:line="360" w:lineRule="exact"/>
        <w:rPr>
          <w:bCs/>
          <w:szCs w:val="21"/>
        </w:rPr>
      </w:pPr>
      <w:r>
        <w:rPr>
          <w:szCs w:val="21"/>
        </w:rPr>
        <w:t>【</w:t>
      </w:r>
      <w:r>
        <w:rPr>
          <w:b/>
          <w:bCs/>
          <w:szCs w:val="21"/>
        </w:rPr>
        <w:t>作用类别</w:t>
      </w:r>
      <w:r>
        <w:rPr>
          <w:szCs w:val="21"/>
        </w:rPr>
        <w:t>】本品为抗酸类非处方药药品。</w:t>
      </w:r>
    </w:p>
    <w:p>
      <w:pPr>
        <w:spacing w:line="360" w:lineRule="exact"/>
        <w:rPr>
          <w:bCs/>
          <w:szCs w:val="21"/>
        </w:rPr>
      </w:pPr>
      <w:r>
        <w:rPr>
          <w:szCs w:val="21"/>
        </w:rPr>
        <w:t>【</w:t>
      </w:r>
      <w:r>
        <w:rPr>
          <w:b/>
          <w:bCs/>
          <w:szCs w:val="21"/>
        </w:rPr>
        <w:t>适应症</w:t>
      </w:r>
      <w:r>
        <w:rPr>
          <w:szCs w:val="21"/>
        </w:rPr>
        <w:t>】用于胃酸过多引起的烧心和反酸症状的短期缓解。</w:t>
      </w:r>
    </w:p>
    <w:p>
      <w:pPr>
        <w:spacing w:line="360" w:lineRule="exact"/>
        <w:rPr>
          <w:bCs/>
          <w:szCs w:val="21"/>
        </w:rPr>
      </w:pPr>
      <w:r>
        <w:rPr>
          <w:szCs w:val="21"/>
        </w:rPr>
        <w:t>【</w:t>
      </w:r>
      <w:r>
        <w:rPr>
          <w:b/>
          <w:bCs/>
          <w:szCs w:val="21"/>
        </w:rPr>
        <w:t>规格</w:t>
      </w:r>
      <w:r>
        <w:rPr>
          <w:szCs w:val="21"/>
        </w:rPr>
        <w:t>】</w:t>
      </w:r>
      <w:r>
        <w:rPr>
          <w:rFonts w:hint="eastAsia"/>
          <w:szCs w:val="21"/>
        </w:rPr>
        <w:t>10</w:t>
      </w:r>
      <w:r>
        <w:rPr>
          <w:szCs w:val="21"/>
        </w:rPr>
        <w:t>毫克</w:t>
      </w:r>
    </w:p>
    <w:p>
      <w:pPr>
        <w:spacing w:line="360" w:lineRule="exact"/>
        <w:rPr>
          <w:szCs w:val="21"/>
        </w:rPr>
      </w:pPr>
      <w:r>
        <w:rPr>
          <w:szCs w:val="21"/>
        </w:rPr>
        <w:t>【</w:t>
      </w:r>
      <w:r>
        <w:rPr>
          <w:b/>
          <w:bCs/>
          <w:szCs w:val="21"/>
        </w:rPr>
        <w:t>用法用量</w:t>
      </w:r>
      <w:r>
        <w:rPr>
          <w:szCs w:val="21"/>
        </w:rPr>
        <w:t>】</w:t>
      </w:r>
    </w:p>
    <w:p>
      <w:pPr>
        <w:spacing w:line="360" w:lineRule="exact"/>
        <w:ind w:firstLine="420" w:firstLineChars="200"/>
        <w:rPr>
          <w:szCs w:val="18"/>
        </w:rPr>
      </w:pPr>
      <w:r>
        <w:rPr>
          <w:szCs w:val="21"/>
        </w:rPr>
        <w:t>口服。成人，一次1片，一日1次</w:t>
      </w:r>
      <w:r>
        <w:rPr>
          <w:rFonts w:hint="eastAsia"/>
          <w:szCs w:val="21"/>
        </w:rPr>
        <w:t>（</w:t>
      </w:r>
      <w:r>
        <w:rPr>
          <w:szCs w:val="21"/>
        </w:rPr>
        <w:t>每</w:t>
      </w:r>
      <w:r>
        <w:rPr>
          <w:rFonts w:hint="eastAsia"/>
          <w:szCs w:val="21"/>
        </w:rPr>
        <w:t>24</w:t>
      </w:r>
      <w:r>
        <w:rPr>
          <w:szCs w:val="21"/>
        </w:rPr>
        <w:t>小时），必要时可加服1片，用温开水送服。本品必须整片吞服，不可咀嚼或压碎，更不可将本品压碎于食物中服用。</w:t>
      </w:r>
    </w:p>
    <w:p>
      <w:pPr>
        <w:spacing w:line="260" w:lineRule="exact"/>
        <w:rPr>
          <w:szCs w:val="21"/>
        </w:rPr>
      </w:pPr>
      <w:r>
        <w:rPr>
          <w:szCs w:val="21"/>
        </w:rPr>
        <w:t>【</w:t>
      </w:r>
      <w:r>
        <w:rPr>
          <w:b/>
          <w:bCs/>
          <w:szCs w:val="21"/>
        </w:rPr>
        <w:t>不良反应</w:t>
      </w:r>
      <w:r>
        <w:rPr>
          <w:szCs w:val="21"/>
        </w:rPr>
        <w:t>】</w:t>
      </w:r>
    </w:p>
    <w:p>
      <w:pPr>
        <w:autoSpaceDE w:val="0"/>
        <w:autoSpaceDN w:val="0"/>
        <w:adjustRightInd w:val="0"/>
        <w:spacing w:after="120" w:line="360" w:lineRule="exact"/>
        <w:ind w:firstLine="426"/>
        <w:rPr>
          <w:color w:val="000000"/>
          <w:szCs w:val="21"/>
        </w:rPr>
      </w:pPr>
      <w:r>
        <w:rPr>
          <w:color w:val="000000"/>
          <w:szCs w:val="21"/>
        </w:rPr>
        <w:t>最常见不良反应（发生于1%-</w:t>
      </w:r>
      <w:r>
        <w:rPr>
          <w:rFonts w:hint="eastAsia"/>
          <w:color w:val="000000"/>
          <w:szCs w:val="21"/>
        </w:rPr>
        <w:t>10</w:t>
      </w:r>
      <w:r>
        <w:rPr>
          <w:color w:val="000000"/>
          <w:szCs w:val="21"/>
        </w:rPr>
        <w:t>%的患者）为头痛、腹部疼痛、便秘、腹泻、胃肠胀气和恶心/呕吐。在有些长期治疗病例中可发生胃</w:t>
      </w:r>
      <w:r>
        <w:rPr>
          <w:rFonts w:hint="eastAsia"/>
          <w:color w:val="000000"/>
          <w:szCs w:val="21"/>
        </w:rPr>
        <w:t>粘</w:t>
      </w:r>
      <w:r>
        <w:rPr>
          <w:color w:val="000000"/>
          <w:szCs w:val="21"/>
        </w:rPr>
        <w:t>膜细胞增生和萎缩性胃炎。</w:t>
      </w:r>
    </w:p>
    <w:p>
      <w:pPr>
        <w:autoSpaceDE w:val="0"/>
        <w:autoSpaceDN w:val="0"/>
        <w:adjustRightInd w:val="0"/>
        <w:spacing w:after="120" w:line="360" w:lineRule="exact"/>
        <w:ind w:firstLine="426"/>
        <w:rPr>
          <w:color w:val="000000"/>
          <w:szCs w:val="21"/>
        </w:rPr>
      </w:pPr>
      <w:r>
        <w:rPr>
          <w:color w:val="000000"/>
          <w:szCs w:val="21"/>
        </w:rPr>
        <w:t>全球临床试验中</w:t>
      </w:r>
      <w:r>
        <w:rPr>
          <w:rFonts w:hint="eastAsia"/>
          <w:color w:val="000000"/>
          <w:szCs w:val="21"/>
        </w:rPr>
        <w:t>3096</w:t>
      </w:r>
      <w:r>
        <w:rPr>
          <w:color w:val="000000"/>
          <w:szCs w:val="21"/>
        </w:rPr>
        <w:t>例患者（其中2631例来自双盲或开放的国际多中心研究）暴露于奥美拉唑，发生率≥2%的不良反应包括头痛（6.9%）、腹痛（5.2%）、恶心（4.0%）、腹泻（3.7%）、呕吐（3.2%）和胃肠胀气（2.7%）。发生率≥1%的不良反应包括反酸（1.9%）、上呼吸道感染（1.9%）、便秘（1.5%）、头晕（1.5%）、皮疹（1.5%）、乏力（1.3%）、背痛（1.1%）和咳嗽（1.1%）。</w:t>
      </w:r>
    </w:p>
    <w:p>
      <w:pPr>
        <w:autoSpaceDE w:val="0"/>
        <w:autoSpaceDN w:val="0"/>
        <w:adjustRightInd w:val="0"/>
        <w:spacing w:after="120" w:line="360" w:lineRule="exact"/>
        <w:ind w:firstLine="426"/>
        <w:rPr>
          <w:color w:val="000000"/>
          <w:szCs w:val="21"/>
        </w:rPr>
      </w:pPr>
      <w:r>
        <w:rPr>
          <w:color w:val="000000"/>
          <w:szCs w:val="21"/>
        </w:rPr>
        <w:t>在本品获准上市后使用过程中，已经发现如下不良反应。由于这些不良反应由数量不明的人群自发报告，因此难以估算其实际发生率或确定其与药物暴露之间的因果关系。按人体器官系统分类列出如下：</w:t>
      </w:r>
    </w:p>
    <w:p>
      <w:pPr>
        <w:autoSpaceDE w:val="0"/>
        <w:autoSpaceDN w:val="0"/>
        <w:adjustRightInd w:val="0"/>
        <w:spacing w:after="120" w:line="360" w:lineRule="exact"/>
        <w:ind w:firstLine="426"/>
        <w:rPr>
          <w:color w:val="000000"/>
          <w:szCs w:val="21"/>
        </w:rPr>
      </w:pPr>
      <w:r>
        <w:rPr>
          <w:rFonts w:hint="eastAsia"/>
          <w:color w:val="000000"/>
          <w:szCs w:val="21"/>
        </w:rPr>
        <w:t>全身性疾病：超敏反应包括速发过敏反应、过敏性休克、血管性水肿、支气管痉挛、间质性肾炎、荨麻疹，发热，疼痛，疲乏，不适；</w:t>
      </w:r>
    </w:p>
    <w:p>
      <w:pPr>
        <w:autoSpaceDE w:val="0"/>
        <w:autoSpaceDN w:val="0"/>
        <w:adjustRightInd w:val="0"/>
        <w:spacing w:after="120" w:line="360" w:lineRule="exact"/>
        <w:ind w:firstLine="426"/>
        <w:rPr>
          <w:color w:val="000000"/>
          <w:szCs w:val="21"/>
        </w:rPr>
      </w:pPr>
      <w:r>
        <w:rPr>
          <w:rFonts w:hint="eastAsia"/>
          <w:color w:val="000000"/>
          <w:szCs w:val="21"/>
        </w:rPr>
        <w:t>心血管系统：胸痛、心绞痛、心动过速、心动过缓、心悸、血压升高、外周水肿；</w:t>
      </w:r>
    </w:p>
    <w:p>
      <w:pPr>
        <w:autoSpaceDE w:val="0"/>
        <w:autoSpaceDN w:val="0"/>
        <w:adjustRightInd w:val="0"/>
        <w:spacing w:after="120" w:line="360" w:lineRule="exact"/>
        <w:ind w:firstLine="426"/>
        <w:rPr>
          <w:color w:val="000000"/>
          <w:szCs w:val="21"/>
        </w:rPr>
      </w:pPr>
      <w:r>
        <w:rPr>
          <w:rFonts w:hint="eastAsia"/>
          <w:color w:val="000000"/>
          <w:szCs w:val="21"/>
        </w:rPr>
        <w:t>内分泌系统：男性乳房发育；</w:t>
      </w:r>
    </w:p>
    <w:p>
      <w:pPr>
        <w:autoSpaceDE w:val="0"/>
        <w:autoSpaceDN w:val="0"/>
        <w:adjustRightInd w:val="0"/>
        <w:spacing w:after="120" w:line="360" w:lineRule="exact"/>
        <w:ind w:firstLine="426"/>
        <w:rPr>
          <w:color w:val="000000"/>
          <w:szCs w:val="21"/>
        </w:rPr>
      </w:pPr>
      <w:r>
        <w:rPr>
          <w:rFonts w:hint="eastAsia"/>
          <w:color w:val="000000"/>
          <w:szCs w:val="21"/>
        </w:rPr>
        <w:t>胃肠道系统：胰腺炎（某些可致命）、厌食、肠易激、粪便变色、食管念珠菌病、舌黏膜萎缩、口炎、口干、腹胀、显微镜下结肠炎。奥美拉唑治疗期间，极罕见观察到患者出现胃底腺息肉，这些息肉为良性，在停止治疗后可逆转；</w:t>
      </w:r>
    </w:p>
    <w:p>
      <w:pPr>
        <w:autoSpaceDE w:val="0"/>
        <w:autoSpaceDN w:val="0"/>
        <w:adjustRightInd w:val="0"/>
        <w:spacing w:after="120" w:line="360" w:lineRule="exact"/>
        <w:ind w:firstLine="426"/>
        <w:rPr>
          <w:color w:val="000000"/>
          <w:szCs w:val="21"/>
        </w:rPr>
      </w:pPr>
      <w:r>
        <w:rPr>
          <w:rFonts w:hint="eastAsia"/>
          <w:color w:val="000000"/>
          <w:szCs w:val="21"/>
        </w:rPr>
        <w:t>患有卓-艾综合征的患者在接受奥美拉唑长期治疗时报告发生胃十二指肠类癌，该发现被认为与基础疾病有关；</w:t>
      </w:r>
    </w:p>
    <w:p>
      <w:pPr>
        <w:autoSpaceDE w:val="0"/>
        <w:autoSpaceDN w:val="0"/>
        <w:adjustRightInd w:val="0"/>
        <w:spacing w:after="120" w:line="360" w:lineRule="exact"/>
        <w:ind w:firstLine="426"/>
        <w:rPr>
          <w:color w:val="000000"/>
          <w:szCs w:val="21"/>
        </w:rPr>
      </w:pPr>
      <w:r>
        <w:rPr>
          <w:rFonts w:hint="eastAsia"/>
          <w:color w:val="000000"/>
          <w:szCs w:val="21"/>
        </w:rPr>
        <w:t>肝胆系统：肝衰竭（某些可致命）、肝坏死（某些可致命）、肝性脑病、肝细胞疾病、胆汁淤积、混合型肝炎、黄疸、肝功能指标升高（谷丙转氨酶、谷草转氨酶、谷氨酰转肽酶、碱性磷酸酶和胆红素）；</w:t>
      </w:r>
    </w:p>
    <w:p>
      <w:pPr>
        <w:autoSpaceDE w:val="0"/>
        <w:autoSpaceDN w:val="0"/>
        <w:adjustRightInd w:val="0"/>
        <w:spacing w:after="120" w:line="360" w:lineRule="exact"/>
        <w:ind w:firstLine="426"/>
        <w:rPr>
          <w:color w:val="000000"/>
          <w:szCs w:val="21"/>
        </w:rPr>
      </w:pPr>
      <w:r>
        <w:rPr>
          <w:rFonts w:hint="eastAsia"/>
          <w:color w:val="000000"/>
          <w:szCs w:val="21"/>
        </w:rPr>
        <w:t>感染：艰难梭菌相关性腹泻；</w:t>
      </w:r>
    </w:p>
    <w:p>
      <w:pPr>
        <w:autoSpaceDE w:val="0"/>
        <w:autoSpaceDN w:val="0"/>
        <w:adjustRightInd w:val="0"/>
        <w:spacing w:after="120" w:line="360" w:lineRule="exact"/>
        <w:ind w:firstLine="426"/>
        <w:rPr>
          <w:color w:val="000000"/>
          <w:szCs w:val="21"/>
        </w:rPr>
      </w:pPr>
      <w:r>
        <w:rPr>
          <w:rFonts w:hint="eastAsia"/>
          <w:color w:val="000000"/>
          <w:szCs w:val="21"/>
        </w:rPr>
        <w:t>代谢疾病及营养不良：低血糖、低镁血症（低镁血症也可能与低钾血症有关；严重低镁血症可能导致低钙血症）、低钙血症、低钾血症、低钠血症、体重增加；</w:t>
      </w:r>
    </w:p>
    <w:p>
      <w:pPr>
        <w:autoSpaceDE w:val="0"/>
        <w:autoSpaceDN w:val="0"/>
        <w:adjustRightInd w:val="0"/>
        <w:spacing w:after="120" w:line="360" w:lineRule="exact"/>
        <w:ind w:firstLine="426"/>
        <w:rPr>
          <w:color w:val="000000"/>
          <w:szCs w:val="21"/>
        </w:rPr>
      </w:pPr>
      <w:r>
        <w:rPr>
          <w:rFonts w:hint="eastAsia"/>
          <w:color w:val="000000"/>
          <w:szCs w:val="21"/>
        </w:rPr>
        <w:t>肌肉骨骼系统：肌无力、肌痛、肌痉挛、关节疼痛、腿部疼痛、</w:t>
      </w:r>
      <w:r>
        <w:rPr>
          <w:rFonts w:hint="eastAsia"/>
          <w:szCs w:val="21"/>
        </w:rPr>
        <w:t>骨折</w:t>
      </w:r>
      <w:r>
        <w:rPr>
          <w:rFonts w:hint="eastAsia"/>
          <w:color w:val="000000"/>
          <w:szCs w:val="21"/>
        </w:rPr>
        <w:t>；</w:t>
      </w:r>
    </w:p>
    <w:p>
      <w:pPr>
        <w:autoSpaceDE w:val="0"/>
        <w:autoSpaceDN w:val="0"/>
        <w:adjustRightInd w:val="0"/>
        <w:spacing w:after="120" w:line="360" w:lineRule="exact"/>
        <w:ind w:firstLine="426"/>
        <w:rPr>
          <w:color w:val="000000"/>
          <w:szCs w:val="21"/>
        </w:rPr>
      </w:pPr>
      <w:r>
        <w:rPr>
          <w:rFonts w:hint="eastAsia"/>
          <w:color w:val="000000"/>
          <w:szCs w:val="21"/>
        </w:rPr>
        <w:t>神经系统/精神性疾病：抑郁、激动、攻击性、幻觉、意识模糊、失眠、紧张不安、淡漠、嗜睡、焦虑、梦异常、震颤、感觉异常、眩晕、味觉障碍；</w:t>
      </w:r>
    </w:p>
    <w:p>
      <w:pPr>
        <w:autoSpaceDE w:val="0"/>
        <w:autoSpaceDN w:val="0"/>
        <w:adjustRightInd w:val="0"/>
        <w:spacing w:after="120" w:line="360" w:lineRule="exact"/>
        <w:ind w:firstLine="426"/>
        <w:rPr>
          <w:color w:val="000000"/>
          <w:szCs w:val="21"/>
        </w:rPr>
      </w:pPr>
      <w:r>
        <w:rPr>
          <w:rFonts w:hint="eastAsia"/>
          <w:color w:val="000000"/>
          <w:szCs w:val="21"/>
        </w:rPr>
        <w:t>呼吸系统：鼻衄、咽痛；</w:t>
      </w:r>
    </w:p>
    <w:p>
      <w:pPr>
        <w:autoSpaceDE w:val="0"/>
        <w:autoSpaceDN w:val="0"/>
        <w:adjustRightInd w:val="0"/>
        <w:spacing w:after="120" w:line="360" w:lineRule="exact"/>
        <w:ind w:firstLine="426"/>
        <w:rPr>
          <w:color w:val="000000"/>
          <w:szCs w:val="21"/>
        </w:rPr>
      </w:pPr>
      <w:r>
        <w:rPr>
          <w:rFonts w:hint="eastAsia"/>
          <w:color w:val="000000"/>
          <w:szCs w:val="21"/>
        </w:rPr>
        <w:t>皮肤和皮下组织：亚急性皮肤型红斑狼疮、中毒性表皮坏死松解症（某些可致命）、史蒂文斯-约翰逊综合征、多形性红斑、光敏性、荨麻疹、皮疹、皮炎、瘙痒、瘀点、紫癜、脱发、皮肤干燥、多汗、药物反应伴嗜酸性粒细胞增多和全身性症状（DRESS）、急性全身发疹性脓包性皮病（AGEP）；</w:t>
      </w:r>
    </w:p>
    <w:p>
      <w:pPr>
        <w:autoSpaceDE w:val="0"/>
        <w:autoSpaceDN w:val="0"/>
        <w:adjustRightInd w:val="0"/>
        <w:spacing w:after="120" w:line="360" w:lineRule="exact"/>
        <w:ind w:firstLine="426"/>
        <w:rPr>
          <w:color w:val="000000"/>
          <w:szCs w:val="21"/>
        </w:rPr>
      </w:pPr>
      <w:r>
        <w:rPr>
          <w:rFonts w:hint="eastAsia"/>
          <w:color w:val="000000"/>
          <w:szCs w:val="21"/>
        </w:rPr>
        <w:t>耳部和迷路系统：耳鸣；</w:t>
      </w:r>
    </w:p>
    <w:p>
      <w:pPr>
        <w:autoSpaceDE w:val="0"/>
        <w:autoSpaceDN w:val="0"/>
        <w:adjustRightInd w:val="0"/>
        <w:spacing w:after="120" w:line="360" w:lineRule="exact"/>
        <w:ind w:firstLine="426"/>
        <w:rPr>
          <w:color w:val="000000"/>
          <w:szCs w:val="21"/>
        </w:rPr>
      </w:pPr>
      <w:r>
        <w:rPr>
          <w:rFonts w:hint="eastAsia"/>
          <w:color w:val="000000"/>
          <w:szCs w:val="21"/>
        </w:rPr>
        <w:t>眼部疾病：视神经萎缩、前部缺血性视神经病变、视神经炎、干眼综合征、眼刺激、视物模糊、复视；</w:t>
      </w:r>
    </w:p>
    <w:p>
      <w:pPr>
        <w:autoSpaceDE w:val="0"/>
        <w:autoSpaceDN w:val="0"/>
        <w:adjustRightInd w:val="0"/>
        <w:spacing w:after="120" w:line="360" w:lineRule="exact"/>
        <w:ind w:firstLine="426"/>
        <w:rPr>
          <w:color w:val="000000"/>
          <w:szCs w:val="21"/>
        </w:rPr>
      </w:pPr>
      <w:r>
        <w:rPr>
          <w:rFonts w:hint="eastAsia"/>
          <w:color w:val="000000"/>
          <w:szCs w:val="21"/>
        </w:rPr>
        <w:t>泌尿生殖系统：间质性肾炎、血尿、蛋白尿、血肌酐升高、镜下脓尿、尿路感染、糖尿、尿频、睾丸疼痛；</w:t>
      </w:r>
    </w:p>
    <w:p>
      <w:pPr>
        <w:spacing w:line="360" w:lineRule="exact"/>
        <w:ind w:firstLine="420" w:firstLineChars="200"/>
        <w:rPr>
          <w:color w:val="000000"/>
          <w:szCs w:val="21"/>
        </w:rPr>
      </w:pPr>
      <w:r>
        <w:rPr>
          <w:rFonts w:hint="eastAsia"/>
          <w:color w:val="000000"/>
          <w:szCs w:val="21"/>
        </w:rPr>
        <w:t>血液和淋巴系统：粒细胞缺乏症（某些可致命）、溶血性贫血、全血细胞减少症、中性粒细胞减少症、贫血、血小板减少症、白细胞减少症、白细胞增多症。</w:t>
      </w:r>
    </w:p>
    <w:p>
      <w:pPr>
        <w:spacing w:line="360" w:lineRule="exact"/>
        <w:rPr>
          <w:b/>
          <w:bCs/>
          <w:color w:val="000000"/>
          <w:szCs w:val="21"/>
        </w:rPr>
      </w:pPr>
      <w:r>
        <w:rPr>
          <w:szCs w:val="21"/>
        </w:rPr>
        <w:t>【</w:t>
      </w:r>
      <w:r>
        <w:rPr>
          <w:b/>
          <w:bCs/>
          <w:szCs w:val="21"/>
        </w:rPr>
        <w:t>禁忌</w:t>
      </w:r>
      <w:r>
        <w:rPr>
          <w:szCs w:val="21"/>
        </w:rPr>
        <w:t>】</w:t>
      </w:r>
      <w:r>
        <w:rPr>
          <w:b/>
          <w:bCs/>
          <w:color w:val="000000"/>
          <w:szCs w:val="21"/>
        </w:rPr>
        <w:t xml:space="preserve"> </w:t>
      </w:r>
    </w:p>
    <w:p>
      <w:pPr>
        <w:spacing w:line="360" w:lineRule="exact"/>
        <w:ind w:firstLine="420" w:firstLineChars="200"/>
        <w:rPr>
          <w:bCs/>
          <w:color w:val="000000"/>
          <w:szCs w:val="21"/>
        </w:rPr>
      </w:pPr>
      <w:r>
        <w:rPr>
          <w:bCs/>
          <w:color w:val="000000"/>
          <w:szCs w:val="21"/>
        </w:rPr>
        <w:t>1.已知对奥美拉唑、其他苯并咪唑类或本品中任何其他成份过敏者禁用。</w:t>
      </w:r>
      <w:r>
        <w:rPr>
          <w:rFonts w:hint="eastAsia"/>
          <w:bCs/>
          <w:color w:val="000000"/>
          <w:szCs w:val="21"/>
        </w:rPr>
        <w:t>超敏反应可能包括速发过敏反应、过敏性休克、血管性水肿、支气管痉挛、间质性肾炎和荨麻疹。</w:t>
      </w:r>
    </w:p>
    <w:p>
      <w:pPr>
        <w:spacing w:line="360" w:lineRule="exact"/>
        <w:ind w:firstLine="420" w:firstLineChars="200"/>
        <w:rPr>
          <w:bCs/>
          <w:color w:val="000000"/>
          <w:szCs w:val="21"/>
        </w:rPr>
      </w:pPr>
      <w:r>
        <w:rPr>
          <w:bCs/>
          <w:color w:val="000000"/>
          <w:szCs w:val="21"/>
        </w:rPr>
        <w:t>2.与其</w:t>
      </w:r>
      <w:r>
        <w:rPr>
          <w:rFonts w:hint="eastAsia"/>
          <w:bCs/>
          <w:color w:val="000000"/>
          <w:szCs w:val="21"/>
        </w:rPr>
        <w:t>它</w:t>
      </w:r>
      <w:r>
        <w:rPr>
          <w:bCs/>
          <w:color w:val="000000"/>
          <w:szCs w:val="21"/>
        </w:rPr>
        <w:t>质子泵抑制剂</w:t>
      </w:r>
      <w:r>
        <w:rPr>
          <w:rFonts w:hint="eastAsia"/>
          <w:bCs/>
          <w:color w:val="000000"/>
          <w:szCs w:val="21"/>
        </w:rPr>
        <w:t>（PPI）</w:t>
      </w:r>
      <w:r>
        <w:rPr>
          <w:bCs/>
          <w:color w:val="000000"/>
          <w:szCs w:val="21"/>
        </w:rPr>
        <w:t>一样，奥美拉唑不应与</w:t>
      </w:r>
      <w:r>
        <w:rPr>
          <w:bCs/>
          <w:szCs w:val="21"/>
        </w:rPr>
        <w:t>奈非那韦、阿扎那韦</w:t>
      </w:r>
      <w:r>
        <w:rPr>
          <w:bCs/>
          <w:color w:val="000000"/>
          <w:szCs w:val="21"/>
        </w:rPr>
        <w:t>合用。</w:t>
      </w:r>
    </w:p>
    <w:p>
      <w:pPr>
        <w:spacing w:line="360" w:lineRule="exact"/>
        <w:ind w:firstLine="420" w:firstLineChars="200"/>
        <w:rPr>
          <w:bCs/>
          <w:color w:val="000000"/>
          <w:szCs w:val="21"/>
        </w:rPr>
      </w:pPr>
      <w:r>
        <w:rPr>
          <w:bCs/>
          <w:color w:val="000000"/>
          <w:szCs w:val="21"/>
        </w:rPr>
        <w:t>3.对本品过敏者、严重肾功能不全者及婴幼儿禁用。</w:t>
      </w:r>
    </w:p>
    <w:p>
      <w:pPr>
        <w:spacing w:line="360" w:lineRule="exact"/>
        <w:rPr>
          <w:b/>
          <w:bCs/>
          <w:color w:val="000000"/>
          <w:szCs w:val="21"/>
        </w:rPr>
      </w:pPr>
      <w:r>
        <w:rPr>
          <w:szCs w:val="21"/>
        </w:rPr>
        <w:t>【</w:t>
      </w:r>
      <w:r>
        <w:rPr>
          <w:b/>
          <w:bCs/>
          <w:color w:val="000000"/>
          <w:szCs w:val="21"/>
        </w:rPr>
        <w:t>注意事项</w:t>
      </w:r>
      <w:r>
        <w:rPr>
          <w:szCs w:val="21"/>
        </w:rPr>
        <w:t>】</w:t>
      </w:r>
    </w:p>
    <w:p>
      <w:pPr>
        <w:spacing w:line="360" w:lineRule="exact"/>
        <w:ind w:firstLine="420" w:firstLineChars="200"/>
        <w:rPr>
          <w:bCs/>
          <w:szCs w:val="21"/>
        </w:rPr>
      </w:pPr>
      <w:r>
        <w:rPr>
          <w:bCs/>
          <w:szCs w:val="21"/>
        </w:rPr>
        <w:t xml:space="preserve">1. </w:t>
      </w:r>
      <w:r>
        <w:rPr>
          <w:rFonts w:hint="eastAsia"/>
          <w:bCs/>
          <w:szCs w:val="21"/>
        </w:rPr>
        <w:t>使用不得超过</w:t>
      </w:r>
      <w:r>
        <w:rPr>
          <w:bCs/>
          <w:szCs w:val="21"/>
        </w:rPr>
        <w:t>7</w:t>
      </w:r>
      <w:r>
        <w:rPr>
          <w:rFonts w:hint="eastAsia"/>
          <w:bCs/>
          <w:szCs w:val="21"/>
        </w:rPr>
        <w:t>天，如症状未缓解，请咨询医师或药师。</w:t>
      </w:r>
    </w:p>
    <w:p>
      <w:pPr>
        <w:spacing w:line="360" w:lineRule="exact"/>
        <w:ind w:firstLine="420" w:firstLineChars="200"/>
        <w:rPr>
          <w:bCs/>
          <w:szCs w:val="21"/>
        </w:rPr>
      </w:pPr>
      <w:r>
        <w:rPr>
          <w:bCs/>
          <w:szCs w:val="21"/>
        </w:rPr>
        <w:t xml:space="preserve">2. </w:t>
      </w:r>
      <w:r>
        <w:rPr>
          <w:rFonts w:hint="eastAsia"/>
          <w:bCs/>
          <w:szCs w:val="21"/>
        </w:rPr>
        <w:t>两个月以内不得再次服用，如症状反复，应立即就医。</w:t>
      </w:r>
    </w:p>
    <w:p>
      <w:pPr>
        <w:spacing w:line="360" w:lineRule="exact"/>
        <w:ind w:firstLine="420" w:firstLineChars="200"/>
        <w:rPr>
          <w:bCs/>
          <w:szCs w:val="21"/>
        </w:rPr>
      </w:pPr>
      <w:r>
        <w:rPr>
          <w:bCs/>
          <w:szCs w:val="21"/>
        </w:rPr>
        <w:t xml:space="preserve">3. </w:t>
      </w:r>
      <w:r>
        <w:rPr>
          <w:rFonts w:hint="eastAsia"/>
          <w:bCs/>
          <w:szCs w:val="21"/>
        </w:rPr>
        <w:t>本品在以下情况下请勿使用：吞咽困难或疼痛；呕血；便血或黑便。这些可能是严重情况的征兆，请咨询医师。</w:t>
      </w:r>
    </w:p>
    <w:p>
      <w:pPr>
        <w:spacing w:line="360" w:lineRule="exact"/>
        <w:ind w:firstLine="420" w:firstLineChars="200"/>
        <w:rPr>
          <w:bCs/>
          <w:szCs w:val="21"/>
        </w:rPr>
      </w:pPr>
      <w:r>
        <w:rPr>
          <w:rFonts w:hint="eastAsia"/>
          <w:bCs/>
          <w:szCs w:val="21"/>
        </w:rPr>
        <w:t>4</w:t>
      </w:r>
      <w:r>
        <w:rPr>
          <w:bCs/>
          <w:szCs w:val="21"/>
        </w:rPr>
        <w:t xml:space="preserve">. </w:t>
      </w:r>
      <w:r>
        <w:rPr>
          <w:rFonts w:hint="eastAsia"/>
          <w:bCs/>
          <w:szCs w:val="21"/>
        </w:rPr>
        <w:t>肝功能不全或血象不正常的患者请在医师指导下使用。</w:t>
      </w:r>
    </w:p>
    <w:p>
      <w:pPr>
        <w:spacing w:line="360" w:lineRule="exact"/>
        <w:ind w:firstLine="420" w:firstLineChars="200"/>
        <w:rPr>
          <w:bCs/>
          <w:szCs w:val="21"/>
        </w:rPr>
      </w:pPr>
      <w:r>
        <w:rPr>
          <w:rFonts w:hint="eastAsia"/>
          <w:bCs/>
          <w:szCs w:val="21"/>
        </w:rPr>
        <w:t>5</w:t>
      </w:r>
      <w:r>
        <w:rPr>
          <w:bCs/>
          <w:szCs w:val="21"/>
        </w:rPr>
        <w:t xml:space="preserve">. </w:t>
      </w:r>
      <w:r>
        <w:rPr>
          <w:rFonts w:hint="eastAsia"/>
          <w:bCs/>
          <w:szCs w:val="21"/>
        </w:rPr>
        <w:t>假如出现烧心持续或加重症状，请停用本品并去医院就诊。</w:t>
      </w:r>
    </w:p>
    <w:p>
      <w:pPr>
        <w:spacing w:line="360" w:lineRule="exact"/>
        <w:ind w:firstLine="420" w:firstLineChars="200"/>
        <w:rPr>
          <w:bCs/>
          <w:color w:val="000000"/>
          <w:szCs w:val="21"/>
        </w:rPr>
      </w:pPr>
      <w:r>
        <w:rPr>
          <w:rFonts w:hint="eastAsia"/>
          <w:bCs/>
          <w:color w:val="000000"/>
          <w:szCs w:val="21"/>
        </w:rPr>
        <w:t>6</w:t>
      </w:r>
      <w:r>
        <w:rPr>
          <w:bCs/>
          <w:color w:val="000000"/>
          <w:szCs w:val="21"/>
        </w:rPr>
        <w:t>. 国内目前尚无儿童使用本品的经验。</w:t>
      </w:r>
    </w:p>
    <w:p>
      <w:pPr>
        <w:spacing w:line="360" w:lineRule="exact"/>
        <w:ind w:firstLine="420" w:firstLineChars="200"/>
        <w:rPr>
          <w:bCs/>
          <w:szCs w:val="21"/>
        </w:rPr>
      </w:pPr>
      <w:r>
        <w:rPr>
          <w:rFonts w:hint="eastAsia"/>
          <w:bCs/>
          <w:szCs w:val="21"/>
        </w:rPr>
        <w:t>7</w:t>
      </w:r>
      <w:r>
        <w:rPr>
          <w:bCs/>
          <w:szCs w:val="21"/>
        </w:rPr>
        <w:t xml:space="preserve">. </w:t>
      </w:r>
      <w:r>
        <w:rPr>
          <w:rFonts w:hint="eastAsia"/>
          <w:bCs/>
          <w:szCs w:val="21"/>
        </w:rPr>
        <w:t>孕期、哺乳期妇女慎用。</w:t>
      </w:r>
    </w:p>
    <w:p>
      <w:pPr>
        <w:spacing w:line="360" w:lineRule="exact"/>
        <w:ind w:firstLine="420" w:firstLineChars="200"/>
        <w:rPr>
          <w:bCs/>
          <w:szCs w:val="21"/>
        </w:rPr>
      </w:pPr>
      <w:r>
        <w:rPr>
          <w:rFonts w:hint="eastAsia"/>
          <w:bCs/>
          <w:szCs w:val="21"/>
        </w:rPr>
        <w:t>8</w:t>
      </w:r>
      <w:r>
        <w:rPr>
          <w:bCs/>
          <w:szCs w:val="21"/>
        </w:rPr>
        <w:t xml:space="preserve">. </w:t>
      </w:r>
      <w:r>
        <w:rPr>
          <w:rFonts w:hint="eastAsia"/>
          <w:bCs/>
          <w:szCs w:val="21"/>
        </w:rPr>
        <w:t>如服用过量或出现严重不良反应，应立即就医。</w:t>
      </w:r>
    </w:p>
    <w:p>
      <w:pPr>
        <w:spacing w:line="360" w:lineRule="exact"/>
        <w:ind w:firstLine="420" w:firstLineChars="200"/>
        <w:rPr>
          <w:bCs/>
          <w:szCs w:val="21"/>
        </w:rPr>
      </w:pPr>
      <w:r>
        <w:rPr>
          <w:rFonts w:hint="eastAsia"/>
          <w:bCs/>
          <w:szCs w:val="21"/>
        </w:rPr>
        <w:t>9</w:t>
      </w:r>
      <w:r>
        <w:rPr>
          <w:bCs/>
          <w:szCs w:val="21"/>
        </w:rPr>
        <w:t>. 对本品过敏者禁用，过敏体质者慎用。</w:t>
      </w:r>
    </w:p>
    <w:p>
      <w:pPr>
        <w:spacing w:line="360" w:lineRule="exact"/>
        <w:ind w:firstLine="420" w:firstLineChars="200"/>
        <w:rPr>
          <w:bCs/>
          <w:szCs w:val="21"/>
        </w:rPr>
      </w:pPr>
      <w:r>
        <w:rPr>
          <w:bCs/>
          <w:szCs w:val="21"/>
        </w:rPr>
        <w:t>1</w:t>
      </w:r>
      <w:r>
        <w:rPr>
          <w:rFonts w:hint="eastAsia"/>
          <w:bCs/>
          <w:szCs w:val="21"/>
        </w:rPr>
        <w:t>0</w:t>
      </w:r>
      <w:r>
        <w:rPr>
          <w:bCs/>
          <w:szCs w:val="21"/>
        </w:rPr>
        <w:t>. 本品性状发生改变时禁止使用。</w:t>
      </w:r>
    </w:p>
    <w:p>
      <w:pPr>
        <w:spacing w:line="360" w:lineRule="exact"/>
        <w:ind w:firstLine="420" w:firstLineChars="200"/>
        <w:rPr>
          <w:bCs/>
          <w:szCs w:val="21"/>
        </w:rPr>
      </w:pPr>
      <w:r>
        <w:rPr>
          <w:bCs/>
          <w:szCs w:val="21"/>
        </w:rPr>
        <w:t>1</w:t>
      </w:r>
      <w:r>
        <w:rPr>
          <w:rFonts w:hint="eastAsia"/>
          <w:bCs/>
          <w:szCs w:val="21"/>
        </w:rPr>
        <w:t>1</w:t>
      </w:r>
      <w:r>
        <w:rPr>
          <w:bCs/>
          <w:szCs w:val="21"/>
        </w:rPr>
        <w:t>.</w:t>
      </w:r>
      <w:r>
        <w:rPr>
          <w:rFonts w:hint="eastAsia"/>
          <w:bCs/>
          <w:szCs w:val="21"/>
        </w:rPr>
        <w:t xml:space="preserve"> </w:t>
      </w:r>
      <w:r>
        <w:rPr>
          <w:bCs/>
          <w:szCs w:val="21"/>
        </w:rPr>
        <w:t>请将本品放在儿童不能接触的地方。</w:t>
      </w:r>
    </w:p>
    <w:p>
      <w:pPr>
        <w:spacing w:line="360" w:lineRule="exact"/>
        <w:ind w:firstLine="420" w:firstLineChars="200"/>
        <w:rPr>
          <w:bCs/>
          <w:szCs w:val="21"/>
        </w:rPr>
      </w:pPr>
      <w:r>
        <w:rPr>
          <w:bCs/>
          <w:szCs w:val="21"/>
        </w:rPr>
        <w:t>12. 如正在使用其他药品，使用本品前请咨询医师或药师。</w:t>
      </w:r>
    </w:p>
    <w:p>
      <w:pPr>
        <w:spacing w:line="360" w:lineRule="exact"/>
        <w:ind w:firstLine="420" w:firstLineChars="200"/>
        <w:rPr>
          <w:bCs/>
          <w:szCs w:val="21"/>
        </w:rPr>
      </w:pPr>
      <w:r>
        <w:rPr>
          <w:bCs/>
          <w:szCs w:val="21"/>
        </w:rPr>
        <w:t>13. 胃恶性肿瘤</w:t>
      </w:r>
    </w:p>
    <w:p>
      <w:pPr>
        <w:spacing w:line="360" w:lineRule="exact"/>
        <w:ind w:firstLine="420" w:firstLineChars="200"/>
        <w:rPr>
          <w:bCs/>
          <w:szCs w:val="18"/>
          <w:lang w:val="en-GB"/>
        </w:rPr>
      </w:pPr>
      <w:r>
        <w:rPr>
          <w:bCs/>
          <w:szCs w:val="21"/>
        </w:rPr>
        <w:t>当怀疑或者确诊胃溃疡，出现报警症状</w:t>
      </w:r>
      <w:r>
        <w:rPr>
          <w:rFonts w:hint="eastAsia"/>
          <w:bCs/>
          <w:szCs w:val="21"/>
        </w:rPr>
        <w:t>（</w:t>
      </w:r>
      <w:r>
        <w:rPr>
          <w:bCs/>
          <w:szCs w:val="21"/>
        </w:rPr>
        <w:t>如</w:t>
      </w:r>
      <w:r>
        <w:rPr>
          <w:rFonts w:hint="eastAsia"/>
          <w:bCs/>
          <w:szCs w:val="21"/>
        </w:rPr>
        <w:t>无意识的明显消瘦、反复呕吐、吞咽困难、</w:t>
      </w:r>
      <w:r>
        <w:rPr>
          <w:rFonts w:hint="eastAsia"/>
          <w:bCs/>
          <w:szCs w:val="18"/>
        </w:rPr>
        <w:t>呕血或者黑便）时，应先排除恶性肿瘤，因为治疗可能会掩盖症状进而导致延误诊断</w:t>
      </w:r>
      <w:r>
        <w:rPr>
          <w:bCs/>
          <w:szCs w:val="18"/>
        </w:rPr>
        <w:t>。</w:t>
      </w:r>
    </w:p>
    <w:p>
      <w:pPr>
        <w:snapToGrid w:val="0"/>
        <w:spacing w:line="360" w:lineRule="auto"/>
        <w:ind w:firstLine="420" w:firstLineChars="200"/>
        <w:rPr>
          <w:bCs/>
          <w:szCs w:val="18"/>
          <w:lang w:val="en-GB"/>
        </w:rPr>
      </w:pPr>
      <w:r>
        <w:rPr>
          <w:bCs/>
          <w:szCs w:val="18"/>
        </w:rPr>
        <w:t>完成</w:t>
      </w:r>
      <w:r>
        <w:rPr>
          <w:bCs/>
          <w:szCs w:val="18"/>
          <w:lang w:val="en-GB"/>
        </w:rPr>
        <w:t>PPI</w:t>
      </w:r>
      <w:r>
        <w:rPr>
          <w:bCs/>
          <w:szCs w:val="18"/>
        </w:rPr>
        <w:t>治疗后出现缓解欠佳或早期症状复发的成人患者，考虑额外随访和诊断检测。对于老年患者，需考虑内窥镜检查。</w:t>
      </w:r>
    </w:p>
    <w:p>
      <w:pPr>
        <w:snapToGrid w:val="0"/>
        <w:spacing w:line="360" w:lineRule="auto"/>
        <w:ind w:firstLine="420" w:firstLineChars="200"/>
        <w:rPr>
          <w:bCs/>
          <w:szCs w:val="18"/>
          <w:lang w:val="en-GB"/>
        </w:rPr>
      </w:pPr>
      <w:r>
        <w:rPr>
          <w:bCs/>
          <w:szCs w:val="18"/>
        </w:rPr>
        <w:t>经本品治疗症状得到缓解的成人患者，仍然不能排除存在胃恶性肿瘤的可能性。</w:t>
      </w:r>
    </w:p>
    <w:p>
      <w:pPr>
        <w:snapToGrid w:val="0"/>
        <w:spacing w:line="360" w:lineRule="auto"/>
        <w:ind w:firstLine="420" w:firstLineChars="200"/>
        <w:rPr>
          <w:bCs/>
          <w:szCs w:val="18"/>
          <w:lang w:val="en-GB"/>
        </w:rPr>
      </w:pPr>
      <w:r>
        <w:rPr>
          <w:rFonts w:hint="eastAsia"/>
          <w:bCs/>
          <w:szCs w:val="18"/>
          <w:lang w:val="en-GB"/>
        </w:rPr>
        <w:t>14. 萎缩性胃炎</w:t>
      </w:r>
    </w:p>
    <w:p>
      <w:pPr>
        <w:snapToGrid w:val="0"/>
        <w:spacing w:line="360" w:lineRule="auto"/>
        <w:ind w:firstLine="420" w:firstLineChars="200"/>
        <w:rPr>
          <w:bCs/>
          <w:szCs w:val="18"/>
          <w:lang w:val="en-GB"/>
        </w:rPr>
      </w:pPr>
      <w:r>
        <w:rPr>
          <w:rFonts w:hint="eastAsia"/>
          <w:bCs/>
          <w:szCs w:val="18"/>
          <w:lang w:val="en-GB"/>
        </w:rPr>
        <w:t>长期接受奥美拉唑治疗的患者，胃体病理活检时偶见萎缩性胃炎。</w:t>
      </w:r>
    </w:p>
    <w:p>
      <w:pPr>
        <w:snapToGrid w:val="0"/>
        <w:spacing w:line="360" w:lineRule="auto"/>
        <w:ind w:firstLine="420" w:firstLineChars="200"/>
        <w:rPr>
          <w:bCs/>
          <w:szCs w:val="18"/>
          <w:lang w:val="en-GB"/>
        </w:rPr>
      </w:pPr>
      <w:r>
        <w:rPr>
          <w:bCs/>
          <w:szCs w:val="18"/>
          <w:lang w:val="en-GB"/>
        </w:rPr>
        <w:t>1</w:t>
      </w:r>
      <w:r>
        <w:rPr>
          <w:rFonts w:hint="eastAsia"/>
          <w:bCs/>
          <w:szCs w:val="18"/>
          <w:lang w:val="en-GB"/>
        </w:rPr>
        <w:t>5</w:t>
      </w:r>
      <w:r>
        <w:rPr>
          <w:bCs/>
          <w:szCs w:val="18"/>
          <w:lang w:val="en-GB"/>
        </w:rPr>
        <w:t xml:space="preserve">. </w:t>
      </w:r>
      <w:r>
        <w:rPr>
          <w:bCs/>
          <w:szCs w:val="18"/>
        </w:rPr>
        <w:t>急性间质性肾炎</w:t>
      </w:r>
    </w:p>
    <w:p>
      <w:pPr>
        <w:snapToGrid w:val="0"/>
        <w:spacing w:line="360" w:lineRule="auto"/>
        <w:ind w:firstLine="420" w:firstLineChars="200"/>
        <w:rPr>
          <w:bCs/>
          <w:szCs w:val="18"/>
          <w:lang w:val="en-GB"/>
        </w:rPr>
      </w:pPr>
      <w:r>
        <w:rPr>
          <w:bCs/>
          <w:szCs w:val="18"/>
          <w:lang w:val="en-GB"/>
        </w:rPr>
        <w:t>在服用PPI（包括奥美拉唑）的患者中观察到急性间质性肾炎。急性间质性肾炎可能发生在PPI治疗期间任何时候，通常由特发性超敏反应造成。如发生急性间质性肾炎，应停用本品。</w:t>
      </w:r>
    </w:p>
    <w:p>
      <w:pPr>
        <w:snapToGrid w:val="0"/>
        <w:spacing w:line="360" w:lineRule="auto"/>
        <w:ind w:firstLine="420" w:firstLineChars="200"/>
        <w:rPr>
          <w:rFonts w:ascii="Times New Roman" w:hAnsi="Times New Roman"/>
          <w:bCs/>
          <w:szCs w:val="18"/>
          <w:lang w:val="en-GB"/>
        </w:rPr>
      </w:pPr>
      <w:r>
        <w:rPr>
          <w:rFonts w:ascii="Times New Roman" w:hAnsi="Times New Roman"/>
          <w:bCs/>
          <w:szCs w:val="18"/>
          <w:lang w:val="en-GB"/>
        </w:rPr>
        <w:t>16.氰钴胺（维生素B</w:t>
      </w:r>
      <w:r>
        <w:rPr>
          <w:rFonts w:ascii="Times New Roman" w:hAnsi="Times New Roman"/>
          <w:bCs/>
          <w:szCs w:val="18"/>
          <w:vertAlign w:val="subscript"/>
          <w:lang w:val="en-GB"/>
        </w:rPr>
        <w:t>12</w:t>
      </w:r>
      <w:r>
        <w:rPr>
          <w:rFonts w:ascii="Times New Roman" w:hAnsi="Times New Roman"/>
          <w:bCs/>
          <w:szCs w:val="18"/>
          <w:lang w:val="en-GB"/>
        </w:rPr>
        <w:t>）缺乏</w:t>
      </w:r>
    </w:p>
    <w:p>
      <w:pPr>
        <w:snapToGrid w:val="0"/>
        <w:spacing w:line="360" w:lineRule="auto"/>
        <w:ind w:firstLine="420" w:firstLineChars="200"/>
        <w:rPr>
          <w:rFonts w:ascii="宋体" w:hAnsi="宋体"/>
          <w:bCs/>
          <w:szCs w:val="21"/>
          <w:lang w:val="en-GB"/>
        </w:rPr>
      </w:pPr>
      <w:r>
        <w:rPr>
          <w:rFonts w:ascii="宋体" w:hAnsi="宋体"/>
          <w:bCs/>
          <w:szCs w:val="21"/>
        </w:rPr>
        <w:t>长期（例如超过3年）每日接受抑酸药物治疗可能导致胃酸过低或胃酸缺乏继而引起维生素</w:t>
      </w:r>
      <w:r>
        <w:rPr>
          <w:rFonts w:ascii="Times New Roman" w:hAnsi="Times New Roman"/>
          <w:bCs/>
          <w:szCs w:val="18"/>
          <w:lang w:val="en-GB"/>
        </w:rPr>
        <w:t>B</w:t>
      </w:r>
      <w:r>
        <w:rPr>
          <w:rFonts w:ascii="Times New Roman" w:hAnsi="Times New Roman"/>
          <w:bCs/>
          <w:szCs w:val="18"/>
          <w:vertAlign w:val="subscript"/>
          <w:lang w:val="en-GB"/>
        </w:rPr>
        <w:t>12</w:t>
      </w:r>
      <w:r>
        <w:rPr>
          <w:rFonts w:ascii="宋体" w:hAnsi="宋体"/>
          <w:bCs/>
          <w:szCs w:val="21"/>
        </w:rPr>
        <w:t>吸收不良。有罕见的抑酸治疗引起氰钴胺缺乏的文献报告。如果观察到氰钴胺缺乏相应的临床症状，则应考虑该诊断。</w:t>
      </w:r>
    </w:p>
    <w:p>
      <w:pPr>
        <w:snapToGrid w:val="0"/>
        <w:spacing w:line="360" w:lineRule="auto"/>
        <w:ind w:firstLine="420" w:firstLineChars="200"/>
        <w:rPr>
          <w:bCs/>
          <w:szCs w:val="18"/>
        </w:rPr>
      </w:pPr>
      <w:bookmarkStart w:id="0" w:name="OLE_LINK156"/>
      <w:bookmarkStart w:id="1" w:name="OLE_LINK155"/>
      <w:r>
        <w:rPr>
          <w:bCs/>
          <w:szCs w:val="18"/>
        </w:rPr>
        <w:t>1</w:t>
      </w:r>
      <w:r>
        <w:rPr>
          <w:rFonts w:hint="eastAsia"/>
          <w:bCs/>
          <w:szCs w:val="18"/>
        </w:rPr>
        <w:t>7</w:t>
      </w:r>
      <w:r>
        <w:rPr>
          <w:bCs/>
          <w:szCs w:val="18"/>
        </w:rPr>
        <w:t>. 艰难梭菌相关性腹泻</w:t>
      </w:r>
    </w:p>
    <w:p>
      <w:pPr>
        <w:snapToGrid w:val="0"/>
        <w:spacing w:line="360" w:lineRule="auto"/>
        <w:ind w:firstLine="420" w:firstLineChars="200"/>
        <w:rPr>
          <w:bCs/>
          <w:szCs w:val="18"/>
        </w:rPr>
      </w:pPr>
      <w:r>
        <w:rPr>
          <w:bCs/>
          <w:szCs w:val="18"/>
        </w:rPr>
        <w:t>已发表的观察研究表明，PPI治疗（如本品）可能会增加艰难梭菌相关性腹泻（CDAD）的风险，尤其是在住院患者中。如果腹泻未见改善，则应考虑该诊断。</w:t>
      </w:r>
    </w:p>
    <w:p>
      <w:pPr>
        <w:snapToGrid w:val="0"/>
        <w:spacing w:line="360" w:lineRule="auto"/>
        <w:ind w:firstLine="420" w:firstLineChars="200"/>
        <w:rPr>
          <w:bCs/>
          <w:szCs w:val="18"/>
        </w:rPr>
      </w:pPr>
      <w:r>
        <w:rPr>
          <w:bCs/>
          <w:szCs w:val="18"/>
        </w:rPr>
        <w:t>1</w:t>
      </w:r>
      <w:r>
        <w:rPr>
          <w:rFonts w:hint="eastAsia"/>
          <w:bCs/>
          <w:szCs w:val="18"/>
        </w:rPr>
        <w:t>8</w:t>
      </w:r>
      <w:r>
        <w:rPr>
          <w:bCs/>
          <w:szCs w:val="18"/>
        </w:rPr>
        <w:t xml:space="preserve">. </w:t>
      </w:r>
      <w:r>
        <w:rPr>
          <w:rFonts w:hint="eastAsia"/>
          <w:bCs/>
          <w:szCs w:val="18"/>
        </w:rPr>
        <w:t>与</w:t>
      </w:r>
      <w:r>
        <w:rPr>
          <w:bCs/>
          <w:szCs w:val="18"/>
        </w:rPr>
        <w:t>氯吡格雷</w:t>
      </w:r>
      <w:r>
        <w:rPr>
          <w:rFonts w:hint="eastAsia"/>
          <w:bCs/>
          <w:szCs w:val="18"/>
        </w:rPr>
        <w:t>的相互作用</w:t>
      </w:r>
    </w:p>
    <w:p>
      <w:pPr>
        <w:snapToGrid w:val="0"/>
        <w:spacing w:line="360" w:lineRule="auto"/>
        <w:ind w:firstLine="420" w:firstLineChars="200"/>
        <w:rPr>
          <w:bCs/>
          <w:szCs w:val="18"/>
          <w:lang w:val="en"/>
        </w:rPr>
      </w:pPr>
      <w:r>
        <w:rPr>
          <w:rFonts w:hint="eastAsia"/>
          <w:bCs/>
          <w:szCs w:val="18"/>
        </w:rPr>
        <w:t>应避免奥美拉唑与氯吡格雷联合使用。氯吡格雷是一种前体药物，其活性代谢产物抑制血小板聚集。与奥美拉唑等药物联合用药时，后者抑制CYP2C19活性，可影响氯吡格雷代谢为活性代谢产物。80毫克奥美拉唑和氯吡格雷联合使用，可降低氯吡格雷的药理活性，即使两者相隔12小时给药。当使用奥美拉唑时，应考虑使用其他药物进行抗血小板治疗。</w:t>
      </w:r>
    </w:p>
    <w:p>
      <w:pPr>
        <w:snapToGrid w:val="0"/>
        <w:spacing w:line="360" w:lineRule="auto"/>
        <w:ind w:firstLine="420" w:firstLineChars="200"/>
        <w:rPr>
          <w:bCs/>
          <w:szCs w:val="18"/>
        </w:rPr>
      </w:pPr>
      <w:bookmarkStart w:id="2" w:name="_Hlk40716678"/>
      <w:r>
        <w:rPr>
          <w:rFonts w:hint="eastAsia"/>
          <w:bCs/>
          <w:szCs w:val="18"/>
        </w:rPr>
        <w:t>19. 骨折</w:t>
      </w:r>
    </w:p>
    <w:p>
      <w:pPr>
        <w:snapToGrid w:val="0"/>
        <w:spacing w:line="360" w:lineRule="auto"/>
        <w:ind w:firstLine="420" w:firstLineChars="200"/>
        <w:rPr>
          <w:bCs/>
          <w:szCs w:val="18"/>
        </w:rPr>
      </w:pPr>
      <w:r>
        <w:rPr>
          <w:rFonts w:hint="eastAsia"/>
          <w:bCs/>
          <w:szCs w:val="18"/>
        </w:rPr>
        <w:t>多项已发表的观察性研究表明，PPI治疗可能增加骨质疏松相关骨折（髋骨、腕骨或脊柱）的风险。接受高剂量（定义为每日多次给药）和长期（1年或更久）PPI治疗的患者，骨折风险增加。患者应根据医疗情况使用最低剂量和最短疗程的PPI治疗。对于有骨质疏松相关骨折风险的患者，应根据相关治疗指南处理。</w:t>
      </w:r>
    </w:p>
    <w:p>
      <w:pPr>
        <w:snapToGrid w:val="0"/>
        <w:spacing w:line="360" w:lineRule="auto"/>
        <w:ind w:firstLine="420" w:firstLineChars="200"/>
        <w:rPr>
          <w:bCs/>
          <w:szCs w:val="18"/>
          <w:lang w:val="en-GB"/>
        </w:rPr>
      </w:pPr>
      <w:r>
        <w:rPr>
          <w:rFonts w:hint="eastAsia"/>
          <w:bCs/>
          <w:szCs w:val="18"/>
          <w:lang w:val="en-GB"/>
        </w:rPr>
        <w:t>20. 低镁血症</w:t>
      </w:r>
    </w:p>
    <w:p>
      <w:pPr>
        <w:snapToGrid w:val="0"/>
        <w:spacing w:line="360" w:lineRule="auto"/>
        <w:ind w:firstLine="420" w:firstLineChars="200"/>
        <w:rPr>
          <w:bCs/>
          <w:szCs w:val="18"/>
          <w:lang w:val="en-GB"/>
        </w:rPr>
      </w:pPr>
      <w:r>
        <w:rPr>
          <w:rFonts w:hint="eastAsia"/>
          <w:bCs/>
          <w:szCs w:val="18"/>
          <w:lang w:val="en-GB"/>
        </w:rPr>
        <w:t>在接受质子泵抑制剂（PPI）治疗至少3个月（绝大多数治疗1年后）的患者中，罕见无症状和有症状的低镁血症病例报告。严重不良事件包括手足抽搐、心律失常和癫痫发作。低镁血症可能导致低钙血症和/或低钾血症，并可能加重高危患者的潜在低钙血症。对于大多数患者，纠正低镁血症需补镁并停用PPI。</w:t>
      </w:r>
    </w:p>
    <w:p>
      <w:pPr>
        <w:snapToGrid w:val="0"/>
        <w:spacing w:line="360" w:lineRule="auto"/>
        <w:ind w:firstLine="420" w:firstLineChars="200"/>
        <w:rPr>
          <w:bCs/>
          <w:szCs w:val="18"/>
          <w:lang w:val="en-GB"/>
        </w:rPr>
      </w:pPr>
      <w:r>
        <w:rPr>
          <w:rFonts w:hint="eastAsia"/>
          <w:bCs/>
          <w:szCs w:val="18"/>
          <w:lang w:val="en-GB"/>
        </w:rPr>
        <w:t>预期需延长PPI治疗或有合并用药如地高辛或可能导致低镁血症的药物（如利尿剂），需要考虑定期监测血镁浓度。</w:t>
      </w:r>
    </w:p>
    <w:p>
      <w:pPr>
        <w:snapToGrid w:val="0"/>
        <w:spacing w:line="360" w:lineRule="auto"/>
        <w:ind w:firstLine="420" w:firstLineChars="200"/>
        <w:rPr>
          <w:bCs/>
          <w:szCs w:val="18"/>
          <w:lang w:val="en-GB"/>
        </w:rPr>
      </w:pPr>
      <w:r>
        <w:rPr>
          <w:rFonts w:hint="eastAsia"/>
          <w:bCs/>
          <w:szCs w:val="18"/>
          <w:lang w:val="en-GB"/>
        </w:rPr>
        <w:t>对有低钙血症风险的患者（如甲状旁腺功能减退症），考虑在开始使用本品前及治疗时定期监测血镁和血钙的浓度。必要时，补充镁和/或钙。如果低钙血症治疗无效，考虑停止使用PPI。</w:t>
      </w:r>
    </w:p>
    <w:p>
      <w:pPr>
        <w:snapToGrid w:val="0"/>
        <w:spacing w:line="360" w:lineRule="auto"/>
        <w:ind w:firstLine="420" w:firstLineChars="200"/>
        <w:rPr>
          <w:bCs/>
          <w:szCs w:val="18"/>
          <w:lang w:val="en-GB"/>
        </w:rPr>
      </w:pPr>
      <w:r>
        <w:rPr>
          <w:rFonts w:hint="eastAsia"/>
          <w:bCs/>
          <w:szCs w:val="18"/>
          <w:lang w:val="en-GB"/>
        </w:rPr>
        <w:t>21</w:t>
      </w:r>
      <w:r>
        <w:rPr>
          <w:bCs/>
          <w:szCs w:val="18"/>
          <w:lang w:val="en-GB"/>
        </w:rPr>
        <w:t xml:space="preserve">. </w:t>
      </w:r>
      <w:r>
        <w:rPr>
          <w:bCs/>
          <w:szCs w:val="18"/>
        </w:rPr>
        <w:t>合用圣约翰草或利福平</w:t>
      </w:r>
    </w:p>
    <w:bookmarkEnd w:id="2"/>
    <w:p>
      <w:pPr>
        <w:snapToGrid w:val="0"/>
        <w:spacing w:line="360" w:lineRule="auto"/>
        <w:ind w:firstLine="420" w:firstLineChars="200"/>
        <w:rPr>
          <w:bCs/>
          <w:szCs w:val="18"/>
          <w:lang w:val="en-GB"/>
        </w:rPr>
      </w:pPr>
      <w:r>
        <w:rPr>
          <w:bCs/>
          <w:szCs w:val="18"/>
        </w:rPr>
        <w:t>诱导</w:t>
      </w:r>
      <w:r>
        <w:rPr>
          <w:bCs/>
          <w:szCs w:val="18"/>
          <w:lang w:val="en-GB"/>
        </w:rPr>
        <w:t>CYP2C19</w:t>
      </w:r>
      <w:r>
        <w:rPr>
          <w:bCs/>
          <w:szCs w:val="18"/>
        </w:rPr>
        <w:t>或</w:t>
      </w:r>
      <w:r>
        <w:rPr>
          <w:bCs/>
          <w:szCs w:val="18"/>
          <w:lang w:val="en-GB"/>
        </w:rPr>
        <w:t>CYP3A4</w:t>
      </w:r>
      <w:r>
        <w:rPr>
          <w:bCs/>
          <w:szCs w:val="18"/>
        </w:rPr>
        <w:t>的药物（如圣约翰草或利福平）可显著降低奥美拉唑的血药浓度。本品应避免与圣约翰草或利福平合并使用。</w:t>
      </w:r>
    </w:p>
    <w:p>
      <w:pPr>
        <w:snapToGrid w:val="0"/>
        <w:spacing w:line="360" w:lineRule="auto"/>
        <w:ind w:firstLine="420" w:firstLineChars="200"/>
        <w:rPr>
          <w:bCs/>
          <w:szCs w:val="18"/>
          <w:lang w:val="en-GB"/>
        </w:rPr>
      </w:pPr>
      <w:r>
        <w:rPr>
          <w:rFonts w:hint="eastAsia"/>
          <w:bCs/>
          <w:szCs w:val="18"/>
          <w:lang w:val="en-GB"/>
        </w:rPr>
        <w:t>22. 与神经内分泌肿瘤诊断性检查的相互作用</w:t>
      </w:r>
    </w:p>
    <w:p>
      <w:pPr>
        <w:snapToGrid w:val="0"/>
        <w:spacing w:line="360" w:lineRule="auto"/>
        <w:ind w:firstLine="420" w:firstLineChars="200"/>
        <w:rPr>
          <w:bCs/>
          <w:szCs w:val="18"/>
          <w:lang w:val="en-GB"/>
        </w:rPr>
      </w:pPr>
      <w:r>
        <w:rPr>
          <w:rFonts w:hint="eastAsia"/>
          <w:bCs/>
          <w:szCs w:val="18"/>
          <w:lang w:val="en-GB"/>
        </w:rPr>
        <w:t>血清嗜铬粒蛋白A（CgA）水平会因药物导致的胃酸降低而继发升高。CgA水平升高会导致神经内分泌瘤的诊断性检查出现假阳性。医疗人员在评估血CgA水平前应暂停使用奥美拉唑至少14天，若初始检测CgA水平升高，应考虑复查该指标。由于不同实验室的正常参考值可能存在差异，如需进行一系列检查（如监测），应在同一实验室中进行。</w:t>
      </w:r>
    </w:p>
    <w:p>
      <w:pPr>
        <w:snapToGrid w:val="0"/>
        <w:spacing w:line="360" w:lineRule="auto"/>
        <w:ind w:firstLine="420" w:firstLineChars="200"/>
        <w:rPr>
          <w:bCs/>
          <w:szCs w:val="18"/>
          <w:lang w:val="en-GB"/>
        </w:rPr>
      </w:pPr>
      <w:r>
        <w:rPr>
          <w:rFonts w:hint="eastAsia"/>
          <w:bCs/>
          <w:szCs w:val="18"/>
          <w:lang w:val="en-GB"/>
        </w:rPr>
        <w:t>23</w:t>
      </w:r>
      <w:r>
        <w:rPr>
          <w:bCs/>
          <w:szCs w:val="18"/>
          <w:lang w:val="en-GB"/>
        </w:rPr>
        <w:t xml:space="preserve">. </w:t>
      </w:r>
      <w:r>
        <w:rPr>
          <w:bCs/>
          <w:szCs w:val="18"/>
        </w:rPr>
        <w:t>合并使用甲氨蝶呤</w:t>
      </w:r>
    </w:p>
    <w:p>
      <w:pPr>
        <w:snapToGrid w:val="0"/>
        <w:spacing w:line="360" w:lineRule="auto"/>
        <w:ind w:firstLine="420" w:firstLineChars="200"/>
        <w:rPr>
          <w:bCs/>
          <w:szCs w:val="18"/>
          <w:lang w:val="en-GB"/>
        </w:rPr>
      </w:pPr>
      <w:r>
        <w:rPr>
          <w:bCs/>
          <w:szCs w:val="18"/>
        </w:rPr>
        <w:t>文献资料提示，</w:t>
      </w:r>
      <w:r>
        <w:rPr>
          <w:bCs/>
          <w:szCs w:val="18"/>
          <w:lang w:val="en-GB"/>
        </w:rPr>
        <w:t>PPI</w:t>
      </w:r>
      <w:r>
        <w:rPr>
          <w:bCs/>
          <w:szCs w:val="18"/>
        </w:rPr>
        <w:t>和甲氨蝶呤（主要是高剂量）合并使用可能会增加甲氨蝶呤和</w:t>
      </w:r>
      <w:r>
        <w:rPr>
          <w:bCs/>
          <w:szCs w:val="18"/>
          <w:lang w:val="en-GB"/>
        </w:rPr>
        <w:t>/</w:t>
      </w:r>
      <w:r>
        <w:rPr>
          <w:bCs/>
          <w:szCs w:val="18"/>
        </w:rPr>
        <w:t>或其代谢产物的血清浓度，延长高血清浓度的持续时间，可能导致甲氨蝶呤中毒。部分患者在使用高剂量甲氨蝶呤时可考虑暂时停用</w:t>
      </w:r>
      <w:r>
        <w:rPr>
          <w:bCs/>
          <w:szCs w:val="18"/>
          <w:lang w:val="en-GB"/>
        </w:rPr>
        <w:t>PPI</w:t>
      </w:r>
      <w:r>
        <w:rPr>
          <w:bCs/>
          <w:szCs w:val="18"/>
        </w:rPr>
        <w:t>。</w:t>
      </w:r>
    </w:p>
    <w:p>
      <w:pPr>
        <w:snapToGrid w:val="0"/>
        <w:spacing w:line="360" w:lineRule="auto"/>
        <w:ind w:firstLine="420" w:firstLineChars="200"/>
        <w:rPr>
          <w:bCs/>
          <w:szCs w:val="18"/>
          <w:lang w:val="en-GB"/>
        </w:rPr>
      </w:pPr>
      <w:r>
        <w:rPr>
          <w:rFonts w:hint="eastAsia"/>
          <w:bCs/>
          <w:szCs w:val="18"/>
          <w:lang w:val="en-GB"/>
        </w:rPr>
        <w:t>24. 亚急性皮肤型红斑狼疮（SCLE）</w:t>
      </w:r>
    </w:p>
    <w:p>
      <w:pPr>
        <w:snapToGrid w:val="0"/>
        <w:spacing w:line="360" w:lineRule="auto"/>
        <w:ind w:firstLine="420" w:firstLineChars="200"/>
        <w:rPr>
          <w:bCs/>
          <w:szCs w:val="18"/>
          <w:lang w:val="en-GB"/>
        </w:rPr>
      </w:pPr>
      <w:r>
        <w:rPr>
          <w:rFonts w:hint="eastAsia"/>
          <w:bCs/>
          <w:szCs w:val="18"/>
          <w:lang w:val="en-GB"/>
        </w:rPr>
        <w:t>仅有非常少数的几例亚急性皮肤型红斑狼疮与</w:t>
      </w:r>
      <w:r>
        <w:rPr>
          <w:bCs/>
          <w:szCs w:val="18"/>
          <w:lang w:val="en-GB"/>
        </w:rPr>
        <w:t>PPI</w:t>
      </w:r>
      <w:r>
        <w:rPr>
          <w:rFonts w:hint="eastAsia"/>
          <w:bCs/>
          <w:szCs w:val="18"/>
          <w:lang w:val="en-GB"/>
        </w:rPr>
        <w:t>有关联。如果皮损发生，特别是暴露在阳光下的部位，且伴随关节痛，患者应及时寻求医疗帮助，专业的医疗人员须考虑停止服用奥美拉唑。曾使用</w:t>
      </w:r>
      <w:r>
        <w:rPr>
          <w:bCs/>
          <w:szCs w:val="18"/>
          <w:lang w:val="en-GB"/>
        </w:rPr>
        <w:t>PPI</w:t>
      </w:r>
      <w:r>
        <w:rPr>
          <w:rFonts w:hint="eastAsia"/>
          <w:bCs/>
          <w:szCs w:val="18"/>
          <w:lang w:val="en-GB"/>
        </w:rPr>
        <w:t>且经过治疗后的亚急性皮肤型红斑狼疮，再次服用其他</w:t>
      </w:r>
      <w:r>
        <w:rPr>
          <w:bCs/>
          <w:szCs w:val="18"/>
          <w:lang w:val="en-GB"/>
        </w:rPr>
        <w:t>PPI</w:t>
      </w:r>
      <w:r>
        <w:rPr>
          <w:rFonts w:hint="eastAsia"/>
          <w:bCs/>
          <w:szCs w:val="18"/>
          <w:lang w:val="en-GB"/>
        </w:rPr>
        <w:t>，可能会增加亚急性皮肤型红斑狼疮的风险。</w:t>
      </w:r>
    </w:p>
    <w:p>
      <w:pPr>
        <w:snapToGrid w:val="0"/>
        <w:spacing w:line="360" w:lineRule="auto"/>
        <w:ind w:firstLine="420" w:firstLineChars="200"/>
        <w:rPr>
          <w:bCs/>
          <w:szCs w:val="18"/>
          <w:lang w:val="en-GB"/>
        </w:rPr>
      </w:pPr>
      <w:r>
        <w:rPr>
          <w:rFonts w:hint="eastAsia"/>
          <w:bCs/>
          <w:szCs w:val="18"/>
          <w:lang w:val="en-GB"/>
        </w:rPr>
        <w:t>25. 严重皮肤不良反应</w:t>
      </w:r>
    </w:p>
    <w:p>
      <w:pPr>
        <w:snapToGrid w:val="0"/>
        <w:spacing w:line="360" w:lineRule="auto"/>
        <w:ind w:firstLine="420" w:firstLineChars="200"/>
        <w:rPr>
          <w:bCs/>
          <w:szCs w:val="18"/>
          <w:lang w:val="en-GB"/>
        </w:rPr>
      </w:pPr>
      <w:r>
        <w:rPr>
          <w:rFonts w:hint="eastAsia"/>
          <w:bCs/>
          <w:szCs w:val="18"/>
          <w:lang w:val="en-GB"/>
        </w:rPr>
        <w:t>有与PPI的使用有关的严重皮肤不良反应的报告，包括史蒂文斯-约翰逊综合征(SJS)，中毒性表皮坏死松解症 (TEN)，药物反应伴嗜酸性粒细胞增多和全身性症状（DRESS）和急性全身发疹性脓包性皮病（AGEP）。在出现严重皮肤不良反应的体征或症状或者其他超敏反应的体征时，应停用本品并考虑进一步评估。</w:t>
      </w:r>
    </w:p>
    <w:p>
      <w:pPr>
        <w:snapToGrid w:val="0"/>
        <w:spacing w:line="360" w:lineRule="auto"/>
        <w:ind w:firstLine="420" w:firstLineChars="200"/>
        <w:rPr>
          <w:bCs/>
          <w:szCs w:val="18"/>
          <w:lang w:val="en-GB"/>
        </w:rPr>
      </w:pPr>
      <w:r>
        <w:rPr>
          <w:bCs/>
          <w:szCs w:val="18"/>
          <w:lang w:val="en"/>
        </w:rPr>
        <w:t>26</w:t>
      </w:r>
      <w:r>
        <w:rPr>
          <w:rFonts w:hint="eastAsia"/>
          <w:bCs/>
          <w:szCs w:val="18"/>
          <w:lang w:val="en-GB"/>
        </w:rPr>
        <w:t>. 使用PPI治疗可能会导致胃肠道感染风险轻微升高，如沙门氏菌和弯曲杆菌感染。</w:t>
      </w:r>
    </w:p>
    <w:p>
      <w:pPr>
        <w:snapToGrid w:val="0"/>
        <w:spacing w:line="360" w:lineRule="auto"/>
        <w:ind w:firstLine="420" w:firstLineChars="200"/>
        <w:rPr>
          <w:bCs/>
          <w:szCs w:val="18"/>
          <w:lang w:val="en-GB"/>
        </w:rPr>
      </w:pPr>
      <w:r>
        <w:rPr>
          <w:bCs/>
          <w:szCs w:val="18"/>
          <w:lang w:val="en-GB"/>
        </w:rPr>
        <w:t>2</w:t>
      </w:r>
      <w:r>
        <w:rPr>
          <w:bCs/>
          <w:szCs w:val="18"/>
          <w:lang w:val="en"/>
        </w:rPr>
        <w:t>7</w:t>
      </w:r>
      <w:r>
        <w:rPr>
          <w:bCs/>
          <w:szCs w:val="18"/>
          <w:lang w:val="en-GB"/>
        </w:rPr>
        <w:t>.</w:t>
      </w:r>
      <w:r>
        <w:rPr>
          <w:rFonts w:hint="eastAsia"/>
          <w:bCs/>
          <w:szCs w:val="18"/>
          <w:lang w:val="en-GB"/>
        </w:rPr>
        <w:t xml:space="preserve"> 对于长期服用奥美拉唑的患者，特别是使用1年以上者，应定期进行监测。</w:t>
      </w:r>
      <w:bookmarkEnd w:id="0"/>
      <w:bookmarkEnd w:id="1"/>
    </w:p>
    <w:p>
      <w:pPr>
        <w:snapToGrid w:val="0"/>
        <w:spacing w:line="360" w:lineRule="auto"/>
        <w:ind w:firstLine="420" w:firstLineChars="200"/>
        <w:rPr>
          <w:bCs/>
          <w:szCs w:val="18"/>
          <w:lang w:val="en-GB"/>
        </w:rPr>
      </w:pPr>
      <w:r>
        <w:rPr>
          <w:rFonts w:hint="eastAsia"/>
          <w:bCs/>
          <w:szCs w:val="18"/>
          <w:lang w:val="en-GB"/>
        </w:rPr>
        <w:t>2</w:t>
      </w:r>
      <w:r>
        <w:rPr>
          <w:bCs/>
          <w:szCs w:val="18"/>
          <w:lang w:val="en"/>
        </w:rPr>
        <w:t>8</w:t>
      </w:r>
      <w:r>
        <w:rPr>
          <w:rFonts w:hint="eastAsia"/>
          <w:bCs/>
          <w:szCs w:val="18"/>
          <w:lang w:val="en-GB"/>
        </w:rPr>
        <w:t>.</w:t>
      </w:r>
      <w:r>
        <w:rPr>
          <w:rFonts w:hint="eastAsia"/>
        </w:rPr>
        <w:t xml:space="preserve"> </w:t>
      </w:r>
      <w:r>
        <w:rPr>
          <w:rFonts w:hint="eastAsia"/>
          <w:bCs/>
          <w:szCs w:val="18"/>
          <w:lang w:val="en-GB"/>
        </w:rPr>
        <w:t>长期反复出现消化不良和烧心症状的患者应定期就诊。</w:t>
      </w:r>
    </w:p>
    <w:p>
      <w:pPr>
        <w:snapToGrid w:val="0"/>
        <w:spacing w:line="360" w:lineRule="auto"/>
        <w:ind w:firstLine="420" w:firstLineChars="200"/>
        <w:rPr>
          <w:bCs/>
          <w:szCs w:val="18"/>
          <w:lang w:val="en-GB"/>
        </w:rPr>
      </w:pPr>
      <w:r>
        <w:rPr>
          <w:bCs/>
          <w:szCs w:val="18"/>
          <w:lang w:val="en"/>
        </w:rPr>
        <w:t>29</w:t>
      </w:r>
      <w:r>
        <w:rPr>
          <w:rFonts w:hint="eastAsia"/>
          <w:bCs/>
          <w:szCs w:val="18"/>
          <w:lang w:val="en-GB"/>
        </w:rPr>
        <w:t>. 患者如果出现以下情况，应咨询医生：既往患有胃溃疡或胃肠道手术史，因消化不良或烧心连续治疗4周以上，患有黄疸或重度肝病，年龄在55岁以上且出现新的或最近有症状变化。</w:t>
      </w:r>
    </w:p>
    <w:p>
      <w:pPr>
        <w:snapToGrid w:val="0"/>
        <w:spacing w:line="360" w:lineRule="auto"/>
        <w:ind w:firstLine="420" w:firstLineChars="200"/>
        <w:rPr>
          <w:bCs/>
          <w:szCs w:val="18"/>
        </w:rPr>
      </w:pPr>
      <w:r>
        <w:rPr>
          <w:bCs/>
          <w:szCs w:val="18"/>
          <w:lang w:val="en"/>
        </w:rPr>
        <w:t>30</w:t>
      </w:r>
      <w:r>
        <w:rPr>
          <w:bCs/>
          <w:szCs w:val="18"/>
          <w:lang w:val="en-GB"/>
        </w:rPr>
        <w:t xml:space="preserve">. </w:t>
      </w:r>
      <w:r>
        <w:rPr>
          <w:bCs/>
          <w:szCs w:val="18"/>
        </w:rPr>
        <w:t>本品含有乳糖。患有半乳糖不耐症、</w:t>
      </w:r>
      <w:r>
        <w:rPr>
          <w:bCs/>
          <w:szCs w:val="18"/>
          <w:lang w:val="en-GB"/>
        </w:rPr>
        <w:t>Lapp</w:t>
      </w:r>
      <w:r>
        <w:rPr>
          <w:bCs/>
          <w:szCs w:val="18"/>
        </w:rPr>
        <w:t>乳糖酶缺乏症或葡萄糖</w:t>
      </w:r>
      <w:r>
        <w:rPr>
          <w:bCs/>
          <w:szCs w:val="18"/>
          <w:lang w:val="en-GB"/>
        </w:rPr>
        <w:t>-</w:t>
      </w:r>
      <w:r>
        <w:rPr>
          <w:bCs/>
          <w:szCs w:val="18"/>
        </w:rPr>
        <w:t>半乳糖吸收不良等罕见遗传疾病的患者不应服用本品。</w:t>
      </w:r>
    </w:p>
    <w:p>
      <w:pPr>
        <w:snapToGrid w:val="0"/>
        <w:spacing w:line="360" w:lineRule="auto"/>
        <w:ind w:firstLine="420" w:firstLineChars="200"/>
        <w:rPr>
          <w:bCs/>
          <w:szCs w:val="18"/>
          <w:lang w:val="en-GB"/>
        </w:rPr>
      </w:pPr>
      <w:r>
        <w:rPr>
          <w:rFonts w:hint="eastAsia"/>
          <w:bCs/>
          <w:szCs w:val="18"/>
        </w:rPr>
        <w:t>3</w:t>
      </w:r>
      <w:r>
        <w:rPr>
          <w:bCs/>
          <w:szCs w:val="18"/>
          <w:lang w:val="en"/>
        </w:rPr>
        <w:t>1</w:t>
      </w:r>
      <w:r>
        <w:rPr>
          <w:bCs/>
          <w:szCs w:val="18"/>
        </w:rPr>
        <w:t xml:space="preserve">. </w:t>
      </w:r>
      <w:bookmarkStart w:id="3" w:name="OLE_LINK85"/>
      <w:r>
        <w:rPr>
          <w:bCs/>
          <w:szCs w:val="18"/>
        </w:rPr>
        <w:t>本</w:t>
      </w:r>
      <w:bookmarkStart w:id="4" w:name="OLE_LINK75"/>
      <w:bookmarkStart w:id="5" w:name="OLE_LINK76"/>
      <w:r>
        <w:rPr>
          <w:bCs/>
          <w:szCs w:val="18"/>
        </w:rPr>
        <w:t>品为肠溶</w:t>
      </w:r>
      <w:bookmarkEnd w:id="4"/>
      <w:bookmarkEnd w:id="5"/>
      <w:r>
        <w:rPr>
          <w:bCs/>
          <w:szCs w:val="18"/>
        </w:rPr>
        <w:t>片，服用时注意不要嚼碎，以免药物在胃内过早释放而影响疗效。</w:t>
      </w:r>
      <w:bookmarkEnd w:id="3"/>
    </w:p>
    <w:p>
      <w:pPr>
        <w:snapToGrid w:val="0"/>
        <w:spacing w:line="360" w:lineRule="auto"/>
        <w:ind w:firstLine="420" w:firstLineChars="200"/>
        <w:rPr>
          <w:bCs/>
          <w:szCs w:val="18"/>
        </w:rPr>
      </w:pPr>
      <w:r>
        <w:rPr>
          <w:rFonts w:hint="eastAsia"/>
          <w:bCs/>
          <w:szCs w:val="18"/>
          <w:lang w:val="en-GB"/>
        </w:rPr>
        <w:t>3</w:t>
      </w:r>
      <w:r>
        <w:rPr>
          <w:bCs/>
          <w:szCs w:val="18"/>
          <w:lang w:val="en"/>
        </w:rPr>
        <w:t>2</w:t>
      </w:r>
      <w:r>
        <w:rPr>
          <w:bCs/>
          <w:szCs w:val="18"/>
          <w:lang w:val="en-GB"/>
        </w:rPr>
        <w:t xml:space="preserve">. </w:t>
      </w:r>
      <w:r>
        <w:rPr>
          <w:bCs/>
          <w:szCs w:val="18"/>
        </w:rPr>
        <w:t>对驾驶和机械操作能力的影响：本品基本不影响驾驶或机械操作能力。可能会出现药物不良反应如头晕和视觉障碍。如果受到影响，患者不应驾驶或操作机械。</w:t>
      </w:r>
    </w:p>
    <w:p>
      <w:pPr>
        <w:spacing w:line="360" w:lineRule="exact"/>
        <w:rPr>
          <w:bCs/>
          <w:szCs w:val="21"/>
        </w:rPr>
      </w:pPr>
      <w:r>
        <w:rPr>
          <w:szCs w:val="21"/>
        </w:rPr>
        <w:t>【</w:t>
      </w:r>
      <w:r>
        <w:rPr>
          <w:b/>
          <w:bCs/>
          <w:szCs w:val="21"/>
        </w:rPr>
        <w:t>药物相互作用</w:t>
      </w:r>
      <w:r>
        <w:rPr>
          <w:szCs w:val="21"/>
        </w:rPr>
        <w:t>】</w:t>
      </w:r>
    </w:p>
    <w:p>
      <w:pPr>
        <w:adjustRightInd w:val="0"/>
        <w:snapToGrid w:val="0"/>
        <w:spacing w:line="360" w:lineRule="auto"/>
        <w:ind w:firstLine="420" w:firstLineChars="200"/>
        <w:rPr>
          <w:lang w:val="en-GB"/>
        </w:rPr>
      </w:pPr>
      <w:r>
        <w:rPr>
          <w:lang w:val="en-GB"/>
        </w:rPr>
        <w:t>1. 奥美拉唑对其他活性物质药代动力学的影响</w:t>
      </w:r>
    </w:p>
    <w:p>
      <w:pPr>
        <w:adjustRightInd w:val="0"/>
        <w:snapToGrid w:val="0"/>
        <w:spacing w:line="360" w:lineRule="auto"/>
        <w:ind w:firstLine="420" w:firstLineChars="200"/>
        <w:rPr>
          <w:lang w:val="en-GB"/>
        </w:rPr>
      </w:pPr>
      <w:r>
        <w:rPr>
          <w:lang w:val="en-GB"/>
        </w:rPr>
        <w:t>（1）pH依赖性吸收的活性物质：</w:t>
      </w:r>
    </w:p>
    <w:p>
      <w:pPr>
        <w:adjustRightInd w:val="0"/>
        <w:snapToGrid w:val="0"/>
        <w:spacing w:line="360" w:lineRule="auto"/>
        <w:ind w:firstLine="420" w:firstLineChars="200"/>
        <w:rPr>
          <w:lang w:val="en-GB"/>
        </w:rPr>
      </w:pPr>
      <w:r>
        <w:rPr>
          <w:lang w:val="en-GB"/>
        </w:rPr>
        <w:t>在奥美拉唑治疗期间，胃酸的降低可能会促进或抑制呈胃pH依赖性吸收的活性物质的吸收。</w:t>
      </w:r>
    </w:p>
    <w:p>
      <w:pPr>
        <w:adjustRightInd w:val="0"/>
        <w:snapToGrid w:val="0"/>
        <w:spacing w:line="360" w:lineRule="auto"/>
        <w:ind w:firstLine="420" w:firstLineChars="200"/>
        <w:rPr>
          <w:i/>
          <w:lang w:val="en-GB"/>
        </w:rPr>
      </w:pPr>
      <w:r>
        <w:rPr>
          <w:i/>
          <w:lang w:val="en-GB"/>
        </w:rPr>
        <w:t>奈非那韦、阿扎那韦：</w:t>
      </w:r>
    </w:p>
    <w:p>
      <w:pPr>
        <w:adjustRightInd w:val="0"/>
        <w:snapToGrid w:val="0"/>
        <w:spacing w:line="360" w:lineRule="auto"/>
        <w:ind w:firstLine="420" w:firstLineChars="200"/>
        <w:rPr>
          <w:lang w:val="en-GB"/>
        </w:rPr>
      </w:pPr>
      <w:r>
        <w:rPr>
          <w:lang w:val="en-GB"/>
        </w:rPr>
        <w:t>与奥美拉唑联用时，奈非那韦和阿扎那韦的的血药浓度会降低。</w:t>
      </w:r>
    </w:p>
    <w:p>
      <w:pPr>
        <w:adjustRightInd w:val="0"/>
        <w:snapToGrid w:val="0"/>
        <w:spacing w:line="360" w:lineRule="auto"/>
        <w:ind w:firstLine="420" w:firstLineChars="200"/>
        <w:rPr>
          <w:lang w:val="en-GB"/>
        </w:rPr>
      </w:pPr>
      <w:r>
        <w:rPr>
          <w:lang w:val="en-GB"/>
        </w:rPr>
        <w:t xml:space="preserve">禁止联合使用奥美拉唑与奈非那韦。联用奥美拉唑（40 </w:t>
      </w:r>
      <w:r>
        <w:rPr>
          <w:rFonts w:hint="eastAsia"/>
          <w:lang w:val="en-GB"/>
        </w:rPr>
        <w:t>毫克</w:t>
      </w:r>
      <w:r>
        <w:rPr>
          <w:lang w:val="en-GB"/>
        </w:rPr>
        <w:t>，每日一次）使奈非那韦平均暴露量减少约40%，药理学活性代谢产物M8的平均暴露量下降约75%-90%。相互作用还可能包括对CYP2C19的抑制作用。</w:t>
      </w:r>
    </w:p>
    <w:p>
      <w:pPr>
        <w:adjustRightInd w:val="0"/>
        <w:snapToGrid w:val="0"/>
        <w:spacing w:line="360" w:lineRule="auto"/>
        <w:ind w:firstLine="420" w:firstLineChars="200"/>
        <w:rPr>
          <w:lang w:val="en-GB"/>
        </w:rPr>
      </w:pPr>
      <w:r>
        <w:t>不推荐联合使用奥美拉唑和阿扎那韦。在健康志愿者中，联合使用奥美拉唑（40</w:t>
      </w:r>
      <w:r>
        <w:rPr>
          <w:rFonts w:hint="eastAsia"/>
        </w:rPr>
        <w:t>毫克</w:t>
      </w:r>
      <w:r>
        <w:t>，每天一次）和阿扎那韦300</w:t>
      </w:r>
      <w:r>
        <w:rPr>
          <w:rFonts w:hint="eastAsia"/>
        </w:rPr>
        <w:t>毫克</w:t>
      </w:r>
      <w:r>
        <w:t>/利托那韦100</w:t>
      </w:r>
      <w:r>
        <w:rPr>
          <w:rFonts w:hint="eastAsia"/>
        </w:rPr>
        <w:t>毫克</w:t>
      </w:r>
      <w:r>
        <w:t>，使阿扎那韦的暴露量减少75%。阿扎那韦剂量增加至400</w:t>
      </w:r>
      <w:r>
        <w:rPr>
          <w:rFonts w:hint="eastAsia"/>
        </w:rPr>
        <w:t>毫克</w:t>
      </w:r>
      <w:r>
        <w:t>不能补偿奥美拉唑对阿扎那韦暴露量的影响。在健康志愿者中，与使用阿扎那韦300</w:t>
      </w:r>
      <w:r>
        <w:rPr>
          <w:rFonts w:hint="eastAsia"/>
        </w:rPr>
        <w:t>毫克</w:t>
      </w:r>
      <w:r>
        <w:t>/利托那韦100</w:t>
      </w:r>
      <w:r>
        <w:rPr>
          <w:rFonts w:hint="eastAsia"/>
        </w:rPr>
        <w:t>毫克</w:t>
      </w:r>
      <w:r>
        <w:t>（每天一次）相比，联合使用奥美拉唑（20</w:t>
      </w:r>
      <w:r>
        <w:rPr>
          <w:rFonts w:hint="eastAsia"/>
        </w:rPr>
        <w:t>毫克</w:t>
      </w:r>
      <w:r>
        <w:t>，每天一次）和阿扎那韦400</w:t>
      </w:r>
      <w:r>
        <w:rPr>
          <w:rFonts w:hint="eastAsia"/>
        </w:rPr>
        <w:t>毫克</w:t>
      </w:r>
      <w:r>
        <w:t>/利托那韦100</w:t>
      </w:r>
      <w:r>
        <w:rPr>
          <w:rFonts w:hint="eastAsia"/>
        </w:rPr>
        <w:t>毫克</w:t>
      </w:r>
      <w:r>
        <w:t>，使阿扎那韦的暴露量减少大约30%。</w:t>
      </w:r>
    </w:p>
    <w:p>
      <w:pPr>
        <w:adjustRightInd w:val="0"/>
        <w:snapToGrid w:val="0"/>
        <w:spacing w:line="360" w:lineRule="auto"/>
        <w:ind w:firstLine="420" w:firstLineChars="200"/>
        <w:rPr>
          <w:i/>
          <w:lang w:val="en-GB"/>
        </w:rPr>
      </w:pPr>
      <w:r>
        <w:rPr>
          <w:i/>
          <w:lang w:val="en-GB"/>
        </w:rPr>
        <w:t>地高辛：</w:t>
      </w:r>
    </w:p>
    <w:p>
      <w:pPr>
        <w:adjustRightInd w:val="0"/>
        <w:snapToGrid w:val="0"/>
        <w:spacing w:line="360" w:lineRule="auto"/>
        <w:ind w:firstLine="420" w:firstLineChars="200"/>
        <w:rPr>
          <w:lang w:val="en-GB"/>
        </w:rPr>
      </w:pPr>
      <w:r>
        <w:rPr>
          <w:lang w:val="en-GB"/>
        </w:rPr>
        <w:t xml:space="preserve">健康受试者同时服用奥美拉唑（20 </w:t>
      </w:r>
      <w:r>
        <w:rPr>
          <w:rFonts w:hint="eastAsia"/>
        </w:rPr>
        <w:t>毫克</w:t>
      </w:r>
      <w:r>
        <w:rPr>
          <w:lang w:val="en-GB"/>
        </w:rPr>
        <w:t>，每日一次）与地高辛，导致地高辛生物利用度升高10%。很少报道地高辛毒性。但是，老年患者给予高剂量奥美拉唑时应谨慎。如果必须联合使用，应该加强对地高辛的治疗药物监测。</w:t>
      </w:r>
    </w:p>
    <w:p>
      <w:pPr>
        <w:adjustRightInd w:val="0"/>
        <w:snapToGrid w:val="0"/>
        <w:spacing w:line="360" w:lineRule="auto"/>
        <w:ind w:firstLine="420" w:firstLineChars="200"/>
        <w:rPr>
          <w:i/>
          <w:lang w:val="en-GB"/>
        </w:rPr>
      </w:pPr>
      <w:r>
        <w:rPr>
          <w:i/>
          <w:lang w:val="en-GB"/>
        </w:rPr>
        <w:t>氯吡格雷：</w:t>
      </w:r>
    </w:p>
    <w:p>
      <w:pPr>
        <w:adjustRightInd w:val="0"/>
        <w:snapToGrid w:val="0"/>
        <w:spacing w:line="360" w:lineRule="auto"/>
        <w:ind w:firstLine="420" w:firstLineChars="200"/>
        <w:rPr>
          <w:lang w:val="en-GB"/>
        </w:rPr>
      </w:pPr>
      <w:r>
        <w:rPr>
          <w:lang w:val="en-GB"/>
        </w:rPr>
        <w:t>健康受试者中的研究结果显示，氯吡格雷（300</w:t>
      </w:r>
      <w:r>
        <w:rPr>
          <w:rFonts w:hint="eastAsia"/>
        </w:rPr>
        <w:t>毫克</w:t>
      </w:r>
      <w:r>
        <w:rPr>
          <w:lang w:val="en-GB"/>
        </w:rPr>
        <w:t xml:space="preserve">负荷剂量/75 </w:t>
      </w:r>
      <w:r>
        <w:rPr>
          <w:rFonts w:hint="eastAsia"/>
        </w:rPr>
        <w:t>毫克</w:t>
      </w:r>
      <w:r>
        <w:rPr>
          <w:lang w:val="en-GB"/>
        </w:rPr>
        <w:t xml:space="preserve">日维持剂量）和奥美拉唑（每日80 </w:t>
      </w:r>
      <w:r>
        <w:rPr>
          <w:rFonts w:hint="eastAsia"/>
        </w:rPr>
        <w:t>毫克</w:t>
      </w:r>
      <w:r>
        <w:rPr>
          <w:lang w:val="en-GB"/>
        </w:rPr>
        <w:t>口服）之间的药代动力学（PK）/药效学（PD）相互作用，导致氯吡格雷活性代谢产物的暴露量平均下降46%，并导致血小板聚集的最大抑制作用（ADP诱导）平均下降16%。</w:t>
      </w:r>
    </w:p>
    <w:p>
      <w:pPr>
        <w:adjustRightInd w:val="0"/>
        <w:snapToGrid w:val="0"/>
        <w:spacing w:line="360" w:lineRule="auto"/>
        <w:ind w:firstLine="420" w:firstLineChars="200"/>
        <w:rPr>
          <w:lang w:val="en-GB"/>
        </w:rPr>
      </w:pPr>
      <w:r>
        <w:rPr>
          <w:lang w:val="en-GB"/>
        </w:rPr>
        <w:t>关于奥美拉唑和氯吡格雷PK/PD相互作用在重大心血管事件的临床意义，观察性研究和临床研究均有不一致的数据报告。应避免同时使用奥美拉唑和氯吡格雷。</w:t>
      </w:r>
    </w:p>
    <w:p>
      <w:pPr>
        <w:adjustRightInd w:val="0"/>
        <w:snapToGrid w:val="0"/>
        <w:spacing w:line="360" w:lineRule="auto"/>
        <w:ind w:firstLine="420" w:firstLineChars="200"/>
        <w:rPr>
          <w:i/>
          <w:lang w:val="en-GB"/>
        </w:rPr>
      </w:pPr>
      <w:r>
        <w:rPr>
          <w:i/>
          <w:lang w:val="en-GB"/>
        </w:rPr>
        <w:t>其他药物：</w:t>
      </w:r>
    </w:p>
    <w:p>
      <w:pPr>
        <w:adjustRightInd w:val="0"/>
        <w:snapToGrid w:val="0"/>
        <w:spacing w:line="360" w:lineRule="auto"/>
        <w:ind w:firstLine="420" w:firstLineChars="200"/>
        <w:rPr>
          <w:lang w:val="en-GB"/>
        </w:rPr>
      </w:pPr>
      <w:r>
        <w:rPr>
          <w:lang w:val="en-GB"/>
        </w:rPr>
        <w:t>与奥美拉唑联用，泊沙康唑、厄洛替尼、酮康唑和伊曲康唑的吸收显著降低，可能会影响其临床疗效。应避免本品联合使用泊沙康唑、厄洛替尼。</w:t>
      </w:r>
    </w:p>
    <w:p>
      <w:pPr>
        <w:adjustRightInd w:val="0"/>
        <w:snapToGrid w:val="0"/>
        <w:spacing w:line="360" w:lineRule="auto"/>
        <w:ind w:firstLine="420" w:firstLineChars="200"/>
        <w:rPr>
          <w:lang w:val="en-GB"/>
        </w:rPr>
      </w:pPr>
      <w:r>
        <w:rPr>
          <w:lang w:val="en-GB"/>
        </w:rPr>
        <w:t>（2）经CYP2C19代谢的活性物质：</w:t>
      </w:r>
    </w:p>
    <w:p>
      <w:pPr>
        <w:adjustRightInd w:val="0"/>
        <w:snapToGrid w:val="0"/>
        <w:spacing w:line="360" w:lineRule="auto"/>
        <w:ind w:firstLine="420" w:firstLineChars="200"/>
        <w:rPr>
          <w:lang w:val="en-GB"/>
        </w:rPr>
      </w:pPr>
      <w:r>
        <w:rPr>
          <w:lang w:val="en-GB"/>
        </w:rPr>
        <w:t>奥美拉唑是一种中等强度的CYP2C19抑制剂，CYP2C19为奥美拉唑的主要代谢酶。因此，合并使用同样经由CYP2C19代谢的活性物质会降低其代谢，进而使这些物质的全身暴露量升高。此类药物包括R-华法林和其</w:t>
      </w:r>
      <w:r>
        <w:rPr>
          <w:rFonts w:hint="eastAsia"/>
          <w:lang w:val="en-GB"/>
        </w:rPr>
        <w:t>它</w:t>
      </w:r>
      <w:r>
        <w:rPr>
          <w:lang w:val="en-GB"/>
        </w:rPr>
        <w:t>维生素K拮抗剂、西洛他唑、地西泮和苯妥英。</w:t>
      </w:r>
    </w:p>
    <w:p>
      <w:pPr>
        <w:adjustRightInd w:val="0"/>
        <w:snapToGrid w:val="0"/>
        <w:spacing w:line="360" w:lineRule="auto"/>
        <w:ind w:firstLine="420" w:firstLineChars="200"/>
        <w:rPr>
          <w:i/>
          <w:lang w:val="en-GB"/>
        </w:rPr>
      </w:pPr>
      <w:r>
        <w:rPr>
          <w:i/>
          <w:lang w:val="en-GB"/>
        </w:rPr>
        <w:t>西洛他唑：</w:t>
      </w:r>
    </w:p>
    <w:p>
      <w:pPr>
        <w:adjustRightInd w:val="0"/>
        <w:snapToGrid w:val="0"/>
        <w:spacing w:line="360" w:lineRule="auto"/>
        <w:ind w:firstLine="420" w:firstLineChars="200"/>
        <w:rPr>
          <w:lang w:val="en-GB"/>
        </w:rPr>
      </w:pPr>
      <w:r>
        <w:rPr>
          <w:lang w:val="en-GB"/>
        </w:rPr>
        <w:t>在一项交叉研究中，健康受试者接受40</w:t>
      </w:r>
      <w:r>
        <w:rPr>
          <w:rFonts w:hint="eastAsia"/>
        </w:rPr>
        <w:t>毫克</w:t>
      </w:r>
      <w:r>
        <w:rPr>
          <w:lang w:val="en-GB"/>
        </w:rPr>
        <w:t>剂量的奥美拉唑，使西洛他唑的Cmax和AUC分别增加了18%和26%，其中一种活性代谢物分别增加了29%和69%。</w:t>
      </w:r>
    </w:p>
    <w:p>
      <w:pPr>
        <w:adjustRightInd w:val="0"/>
        <w:snapToGrid w:val="0"/>
        <w:spacing w:line="360" w:lineRule="auto"/>
        <w:ind w:firstLine="420" w:firstLineChars="200"/>
        <w:rPr>
          <w:i/>
          <w:lang w:val="en-GB"/>
        </w:rPr>
      </w:pPr>
      <w:r>
        <w:rPr>
          <w:i/>
          <w:lang w:val="en-GB"/>
        </w:rPr>
        <w:t>苯妥英：</w:t>
      </w:r>
    </w:p>
    <w:p>
      <w:pPr>
        <w:adjustRightInd w:val="0"/>
        <w:snapToGrid w:val="0"/>
        <w:spacing w:line="360" w:lineRule="auto"/>
        <w:ind w:firstLine="420" w:firstLineChars="200"/>
        <w:rPr>
          <w:lang w:val="en-GB"/>
        </w:rPr>
      </w:pPr>
      <w:r>
        <w:rPr>
          <w:lang w:val="en-GB"/>
        </w:rPr>
        <w:t>在开始奥美拉唑治疗后的前两周内，建议监测苯妥英血药浓度，如果进行苯妥英剂量调整，则应在结束奥美拉唑治疗后监测并进一步调整剂量。</w:t>
      </w:r>
    </w:p>
    <w:p>
      <w:pPr>
        <w:adjustRightInd w:val="0"/>
        <w:snapToGrid w:val="0"/>
        <w:spacing w:line="360" w:lineRule="auto"/>
        <w:ind w:firstLine="420" w:firstLineChars="200"/>
        <w:rPr>
          <w:lang w:val="en-GB"/>
        </w:rPr>
      </w:pPr>
      <w:r>
        <w:rPr>
          <w:lang w:val="en-GB"/>
        </w:rPr>
        <w:t>（3）未知机理</w:t>
      </w:r>
    </w:p>
    <w:p>
      <w:pPr>
        <w:adjustRightInd w:val="0"/>
        <w:snapToGrid w:val="0"/>
        <w:spacing w:line="360" w:lineRule="auto"/>
        <w:ind w:firstLine="420" w:firstLineChars="200"/>
        <w:rPr>
          <w:i/>
          <w:lang w:val="en-GB"/>
        </w:rPr>
      </w:pPr>
      <w:r>
        <w:rPr>
          <w:i/>
          <w:lang w:val="en-GB"/>
        </w:rPr>
        <w:t>沙奎那韦：</w:t>
      </w:r>
    </w:p>
    <w:p>
      <w:pPr>
        <w:adjustRightInd w:val="0"/>
        <w:snapToGrid w:val="0"/>
        <w:spacing w:line="360" w:lineRule="auto"/>
        <w:ind w:firstLine="420" w:firstLineChars="200"/>
        <w:rPr>
          <w:lang w:val="en-GB"/>
        </w:rPr>
      </w:pPr>
      <w:r>
        <w:rPr>
          <w:lang w:val="en-GB"/>
        </w:rPr>
        <w:t>奥美拉唑与沙奎那韦/利托那韦联用导致沙奎那韦的血药浓度升高大约70%，与HIV感染患者的良好耐受性相关。</w:t>
      </w:r>
    </w:p>
    <w:p>
      <w:pPr>
        <w:adjustRightInd w:val="0"/>
        <w:snapToGrid w:val="0"/>
        <w:spacing w:line="360" w:lineRule="auto"/>
        <w:ind w:firstLine="420" w:firstLineChars="200"/>
        <w:rPr>
          <w:i/>
          <w:lang w:val="en-GB"/>
        </w:rPr>
      </w:pPr>
      <w:r>
        <w:rPr>
          <w:i/>
          <w:lang w:val="en-GB"/>
        </w:rPr>
        <w:t>他克莫司：</w:t>
      </w:r>
    </w:p>
    <w:p>
      <w:pPr>
        <w:adjustRightInd w:val="0"/>
        <w:snapToGrid w:val="0"/>
        <w:spacing w:line="360" w:lineRule="auto"/>
        <w:ind w:firstLine="420" w:firstLineChars="200"/>
        <w:rPr>
          <w:lang w:val="en-GB"/>
        </w:rPr>
      </w:pPr>
      <w:r>
        <w:rPr>
          <w:lang w:val="en-GB"/>
        </w:rPr>
        <w:t>合用奥美拉唑可使他克莫司的血药浓度升高。应加强对他克莫司浓度以及肾功能（肌酐清除率）的监测，必要时调整他克莫司的剂量。</w:t>
      </w:r>
    </w:p>
    <w:p>
      <w:pPr>
        <w:adjustRightInd w:val="0"/>
        <w:snapToGrid w:val="0"/>
        <w:spacing w:line="360" w:lineRule="auto"/>
        <w:ind w:firstLine="420" w:firstLineChars="200"/>
        <w:rPr>
          <w:i/>
          <w:lang w:val="en-GB"/>
        </w:rPr>
      </w:pPr>
      <w:r>
        <w:rPr>
          <w:i/>
          <w:lang w:val="en-GB"/>
        </w:rPr>
        <w:t>甲氨蝶呤：</w:t>
      </w:r>
    </w:p>
    <w:p>
      <w:pPr>
        <w:adjustRightInd w:val="0"/>
        <w:snapToGrid w:val="0"/>
        <w:spacing w:line="360" w:lineRule="auto"/>
        <w:ind w:firstLine="420" w:firstLineChars="200"/>
        <w:rPr>
          <w:lang w:val="en-GB"/>
        </w:rPr>
      </w:pPr>
      <w:r>
        <w:rPr>
          <w:lang w:val="en-GB"/>
        </w:rPr>
        <w:t>据报道，与质子泵抑制剂合并用药时，部分患者甲氨蝶呤水平增加。给予高剂量的甲氨蝶呤时，可以考虑暂时停用奥美拉唑。</w:t>
      </w:r>
    </w:p>
    <w:p>
      <w:pPr>
        <w:adjustRightInd w:val="0"/>
        <w:snapToGrid w:val="0"/>
        <w:spacing w:line="360" w:lineRule="auto"/>
        <w:ind w:firstLine="420" w:firstLineChars="200"/>
        <w:rPr>
          <w:lang w:val="en-GB"/>
        </w:rPr>
      </w:pPr>
      <w:r>
        <w:rPr>
          <w:lang w:val="en-GB"/>
        </w:rPr>
        <w:t>2. 其他活性物质对奥美拉唑药代动力学的影响</w:t>
      </w:r>
    </w:p>
    <w:p>
      <w:pPr>
        <w:adjustRightInd w:val="0"/>
        <w:snapToGrid w:val="0"/>
        <w:spacing w:line="360" w:lineRule="auto"/>
        <w:ind w:firstLine="420" w:firstLineChars="200"/>
        <w:rPr>
          <w:lang w:val="en-GB"/>
        </w:rPr>
      </w:pPr>
      <w:r>
        <w:rPr>
          <w:lang w:val="en-GB"/>
        </w:rPr>
        <w:t>（1）CYP2C19和/或CYP3A4抑制剂：</w:t>
      </w:r>
    </w:p>
    <w:p>
      <w:pPr>
        <w:adjustRightInd w:val="0"/>
        <w:snapToGrid w:val="0"/>
        <w:spacing w:line="360" w:lineRule="auto"/>
        <w:ind w:firstLine="420" w:firstLineChars="200"/>
        <w:rPr>
          <w:lang w:val="en-GB"/>
        </w:rPr>
      </w:pPr>
      <w:r>
        <w:rPr>
          <w:lang w:val="en-GB"/>
        </w:rPr>
        <w:t>由于奥美拉唑通过CYP2C19和CYP3A4代谢，已知可抑制CYP2C19或CYP3A4的活性药物（如克拉霉素和伏立康唑）可能降低奥美拉唑的代谢速率，进而导致奥美拉唑血药浓度升高。合用伏立康唑可使奥美拉唑的暴露量至少翻倍。由于高剂量奥美拉唑具有良好耐受性，一般无需调整奥美拉唑剂量。但是，对于重度肝功能损害患者，如果需要长期治疗，应考虑调整剂量。</w:t>
      </w:r>
    </w:p>
    <w:p>
      <w:pPr>
        <w:adjustRightInd w:val="0"/>
        <w:snapToGrid w:val="0"/>
        <w:spacing w:line="360" w:lineRule="auto"/>
        <w:ind w:firstLine="420" w:firstLineChars="200"/>
        <w:rPr>
          <w:lang w:val="en-GB"/>
        </w:rPr>
      </w:pPr>
      <w:r>
        <w:rPr>
          <w:lang w:val="en-GB"/>
        </w:rPr>
        <w:t>（2）CYP2C19和/或CYP3A4诱导剂：</w:t>
      </w:r>
      <w:bookmarkStart w:id="6" w:name="OLE_LINK20"/>
      <w:bookmarkStart w:id="7" w:name="OLE_LINK21"/>
    </w:p>
    <w:p>
      <w:pPr>
        <w:adjustRightInd w:val="0"/>
        <w:snapToGrid w:val="0"/>
        <w:spacing w:line="360" w:lineRule="auto"/>
        <w:ind w:firstLine="420" w:firstLineChars="200"/>
        <w:rPr>
          <w:szCs w:val="21"/>
        </w:rPr>
      </w:pPr>
      <w:r>
        <w:rPr>
          <w:lang w:val="en-GB"/>
        </w:rPr>
        <w:t>已知可诱导CYP2C19和/或CYP3A4的活性药物（如</w:t>
      </w:r>
      <w:bookmarkStart w:id="8" w:name="OLE_LINK18"/>
      <w:bookmarkStart w:id="9" w:name="OLE_LINK19"/>
      <w:r>
        <w:rPr>
          <w:lang w:val="en-GB"/>
        </w:rPr>
        <w:t>利福平</w:t>
      </w:r>
      <w:bookmarkEnd w:id="8"/>
      <w:bookmarkEnd w:id="9"/>
      <w:r>
        <w:rPr>
          <w:lang w:val="en-GB"/>
        </w:rPr>
        <w:t>和圣约翰草）可使奥美拉唑代谢速率增加，进而导致奥美拉唑血药浓度降低。</w:t>
      </w:r>
      <w:bookmarkEnd w:id="6"/>
      <w:bookmarkEnd w:id="7"/>
    </w:p>
    <w:p>
      <w:pPr>
        <w:spacing w:line="360" w:lineRule="exact"/>
        <w:ind w:firstLine="420" w:firstLineChars="200"/>
        <w:rPr>
          <w:szCs w:val="21"/>
        </w:rPr>
      </w:pPr>
      <w:r>
        <w:rPr>
          <w:szCs w:val="18"/>
        </w:rPr>
        <w:t>3. 如与其他药物同时使用可能会发生药物相互作用，详情请咨询医师或药师。</w:t>
      </w:r>
    </w:p>
    <w:p>
      <w:pPr>
        <w:spacing w:line="360" w:lineRule="exact"/>
        <w:rPr>
          <w:szCs w:val="21"/>
        </w:rPr>
      </w:pPr>
      <w:r>
        <w:rPr>
          <w:szCs w:val="21"/>
        </w:rPr>
        <w:t>【</w:t>
      </w:r>
      <w:r>
        <w:rPr>
          <w:b/>
          <w:bCs/>
          <w:szCs w:val="21"/>
        </w:rPr>
        <w:t>药理作用</w:t>
      </w:r>
      <w:r>
        <w:rPr>
          <w:szCs w:val="21"/>
        </w:rPr>
        <w:t>】</w:t>
      </w:r>
    </w:p>
    <w:p>
      <w:pPr>
        <w:spacing w:line="360" w:lineRule="exact"/>
        <w:ind w:firstLine="420" w:firstLineChars="200"/>
        <w:rPr>
          <w:szCs w:val="21"/>
        </w:rPr>
      </w:pPr>
      <w:r>
        <w:rPr>
          <w:szCs w:val="21"/>
        </w:rPr>
        <w:t>本品为H</w:t>
      </w:r>
      <w:r>
        <w:rPr>
          <w:szCs w:val="21"/>
          <w:vertAlign w:val="superscript"/>
        </w:rPr>
        <w:t>+</w:t>
      </w:r>
      <w:r>
        <w:rPr>
          <w:szCs w:val="21"/>
        </w:rPr>
        <w:t>- K</w:t>
      </w:r>
      <w:r>
        <w:rPr>
          <w:szCs w:val="21"/>
          <w:vertAlign w:val="superscript"/>
        </w:rPr>
        <w:t>+</w:t>
      </w:r>
      <w:r>
        <w:rPr>
          <w:szCs w:val="21"/>
        </w:rPr>
        <w:t>-ATP酶质子泵抑制剂，通过小肠吸收后，经血液循环，在胃壁浓集，从而抑制胃酸。</w:t>
      </w:r>
    </w:p>
    <w:p>
      <w:pPr>
        <w:spacing w:line="360" w:lineRule="exact"/>
        <w:ind w:right="45"/>
        <w:rPr>
          <w:szCs w:val="21"/>
        </w:rPr>
      </w:pPr>
      <w:r>
        <w:rPr>
          <w:rFonts w:hint="eastAsia"/>
          <w:szCs w:val="21"/>
        </w:rPr>
        <w:t>[贮藏]</w:t>
      </w:r>
    </w:p>
    <w:p>
      <w:pPr>
        <w:spacing w:line="360" w:lineRule="exact"/>
        <w:ind w:right="45"/>
        <w:rPr>
          <w:szCs w:val="21"/>
        </w:rPr>
      </w:pPr>
      <w:r>
        <w:rPr>
          <w:rFonts w:hint="eastAsia"/>
          <w:szCs w:val="21"/>
        </w:rPr>
        <w:t>[包装]</w:t>
      </w:r>
    </w:p>
    <w:p>
      <w:pPr>
        <w:spacing w:line="360" w:lineRule="exact"/>
        <w:ind w:right="45"/>
        <w:rPr>
          <w:szCs w:val="21"/>
        </w:rPr>
      </w:pPr>
      <w:r>
        <w:rPr>
          <w:rFonts w:hint="eastAsia"/>
          <w:szCs w:val="21"/>
        </w:rPr>
        <w:t>[有效期]</w:t>
      </w:r>
    </w:p>
    <w:p>
      <w:pPr>
        <w:spacing w:line="360" w:lineRule="exact"/>
        <w:ind w:right="45"/>
        <w:rPr>
          <w:szCs w:val="21"/>
        </w:rPr>
      </w:pPr>
      <w:r>
        <w:rPr>
          <w:rFonts w:hint="eastAsia"/>
          <w:szCs w:val="21"/>
        </w:rPr>
        <w:t>[执行标准]</w:t>
      </w:r>
    </w:p>
    <w:p>
      <w:pPr>
        <w:spacing w:line="360" w:lineRule="exact"/>
        <w:ind w:right="45"/>
        <w:rPr>
          <w:szCs w:val="21"/>
        </w:rPr>
      </w:pPr>
      <w:r>
        <w:rPr>
          <w:rFonts w:hint="eastAsia"/>
          <w:szCs w:val="21"/>
        </w:rPr>
        <w:t>[批准文号]</w:t>
      </w:r>
    </w:p>
    <w:p>
      <w:pPr>
        <w:spacing w:line="360" w:lineRule="exact"/>
        <w:ind w:right="45"/>
        <w:rPr>
          <w:szCs w:val="21"/>
        </w:rPr>
      </w:pPr>
      <w:r>
        <w:rPr>
          <w:rFonts w:hint="eastAsia"/>
          <w:szCs w:val="21"/>
        </w:rPr>
        <w:t>[说明书修订日期]</w:t>
      </w:r>
    </w:p>
    <w:p>
      <w:pPr>
        <w:spacing w:line="360" w:lineRule="exact"/>
        <w:ind w:right="45"/>
        <w:rPr>
          <w:szCs w:val="21"/>
        </w:rPr>
      </w:pPr>
      <w:r>
        <w:rPr>
          <w:rFonts w:hint="eastAsia"/>
          <w:szCs w:val="21"/>
        </w:rPr>
        <w:t xml:space="preserve">[生产企业] </w:t>
      </w:r>
    </w:p>
    <w:p>
      <w:pPr>
        <w:spacing w:line="360" w:lineRule="exact"/>
        <w:ind w:right="45"/>
        <w:rPr>
          <w:szCs w:val="21"/>
        </w:rPr>
      </w:pPr>
      <w:r>
        <w:rPr>
          <w:rFonts w:hint="eastAsia"/>
          <w:szCs w:val="21"/>
        </w:rPr>
        <w:t>企业名称：</w:t>
      </w:r>
    </w:p>
    <w:p>
      <w:pPr>
        <w:spacing w:line="360" w:lineRule="exact"/>
        <w:ind w:right="45"/>
        <w:rPr>
          <w:szCs w:val="21"/>
        </w:rPr>
      </w:pPr>
      <w:r>
        <w:rPr>
          <w:rFonts w:hint="eastAsia"/>
          <w:szCs w:val="21"/>
        </w:rPr>
        <w:t xml:space="preserve">生产地址： </w:t>
      </w:r>
    </w:p>
    <w:p>
      <w:pPr>
        <w:spacing w:line="360" w:lineRule="exact"/>
        <w:ind w:right="45"/>
        <w:rPr>
          <w:szCs w:val="21"/>
        </w:rPr>
      </w:pPr>
      <w:r>
        <w:rPr>
          <w:rFonts w:hint="eastAsia"/>
          <w:szCs w:val="21"/>
        </w:rPr>
        <w:t>邮政编码：</w:t>
      </w:r>
    </w:p>
    <w:p>
      <w:pPr>
        <w:spacing w:line="360" w:lineRule="exact"/>
        <w:ind w:right="45"/>
        <w:rPr>
          <w:szCs w:val="21"/>
        </w:rPr>
      </w:pPr>
      <w:r>
        <w:rPr>
          <w:rFonts w:hint="eastAsia"/>
          <w:szCs w:val="21"/>
        </w:rPr>
        <w:t>电话号码：传真号码：</w:t>
      </w:r>
    </w:p>
    <w:p>
      <w:pPr>
        <w:spacing w:line="360" w:lineRule="exact"/>
        <w:ind w:right="45"/>
        <w:rPr>
          <w:szCs w:val="21"/>
        </w:rPr>
      </w:pPr>
      <w:r>
        <w:rPr>
          <w:rFonts w:hint="eastAsia"/>
          <w:szCs w:val="21"/>
        </w:rPr>
        <w:t xml:space="preserve">网    址： </w:t>
      </w:r>
    </w:p>
    <w:p>
      <w:pPr>
        <w:spacing w:line="360" w:lineRule="exact"/>
        <w:rPr>
          <w:szCs w:val="21"/>
        </w:rPr>
      </w:pPr>
      <w:r>
        <w:rPr>
          <w:rFonts w:hint="eastAsia"/>
          <w:szCs w:val="21"/>
        </w:rPr>
        <w:t>如有问题可与生产企业联系</w:t>
      </w: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9170" cy="230505"/>
              <wp:effectExtent l="0" t="3810" r="317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9264;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QadPSAAAABAEAAA8AAAAAAAAAAQAgAAAAIgAAAGRycy9k&#10;b3ducmV2LnhtbFBLAQIUABQAAAAIAIdO4kBR03EtCAIAAAIEAAAOAAAAAAAAAAEAIAAAACEBAABk&#10;cnMvZTJvRG9jLnhtbFBLBQYAAAAABgAGAFkBAACbBQAAAAA=&#10;">
              <v:fill on="f" focussize="0,0"/>
              <v:stroke on="f"/>
              <v:imagedata o:title=""/>
              <o:lock v:ext="edit" aspectratio="f"/>
              <v:textbox inset="0mm,0mm,0mm,0mm" style="mso-fit-shape-to-text:t;">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pStyle w:val="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7B"/>
    <w:rsid w:val="00140CF7"/>
    <w:rsid w:val="0022274F"/>
    <w:rsid w:val="00565763"/>
    <w:rsid w:val="005C7FF7"/>
    <w:rsid w:val="00A626D4"/>
    <w:rsid w:val="00B41154"/>
    <w:rsid w:val="00BF2E7B"/>
    <w:rsid w:val="00E07878"/>
    <w:rsid w:val="3D7DBC98"/>
    <w:rsid w:val="3EAB0813"/>
    <w:rsid w:val="58D555F1"/>
    <w:rsid w:val="5BEF51ED"/>
    <w:rsid w:val="9AF87A40"/>
    <w:rsid w:val="BFEF256E"/>
    <w:rsid w:val="CAFFA385"/>
    <w:rsid w:val="DFFFE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5405</Words>
  <Characters>5790</Characters>
  <Lines>42</Lines>
  <Paragraphs>11</Paragraphs>
  <TotalTime>0</TotalTime>
  <ScaleCrop>false</ScaleCrop>
  <LinksUpToDate>false</LinksUpToDate>
  <CharactersWithSpaces>5840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2022-08-26T09:21:00Z</dcterms:created>
  <dc:creator>Administrator</dc:creator>
  <cp:lastModifiedBy>盼</cp:lastModifiedBy>
  <cp:lastPrinted>2022-01-18T02:20:00Z</cp:lastPrinted>
  <dcterms:modified xsi:type="dcterms:W3CDTF">2022-09-16T00:52:11Z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9CFADAB108494AD095C2B9CF77FF5E99</vt:lpwstr>
  </property>
</Properties>
</file>