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B1C2B">
      <w:pPr>
        <w:rPr>
          <w:rFonts w:hint="eastAsia" w:ascii="黑体" w:hAnsi="华文仿宋" w:eastAsia="黑体"/>
          <w:sz w:val="32"/>
          <w:szCs w:val="32"/>
        </w:rPr>
      </w:pPr>
      <w:bookmarkStart w:id="4" w:name="_GoBack"/>
      <w:bookmarkEnd w:id="4"/>
      <w:r>
        <w:rPr>
          <w:rFonts w:hint="eastAsia" w:ascii="黑体" w:hAnsi="华文仿宋" w:eastAsia="黑体"/>
          <w:sz w:val="32"/>
          <w:szCs w:val="32"/>
        </w:rPr>
        <w:t>附件</w:t>
      </w:r>
    </w:p>
    <w:p w14:paraId="14AE1A54">
      <w:pPr>
        <w:spacing w:before="156" w:beforeLines="50" w:after="156" w:afterLines="50" w:line="440" w:lineRule="exact"/>
        <w:jc w:val="center"/>
        <w:rPr>
          <w:rFonts w:hint="eastAsia" w:ascii="方正小标宋简体" w:hAnsi="Times New Roman" w:eastAsia="方正小标宋简体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肌苷注射剂说明书修订</w:t>
      </w:r>
      <w:r>
        <w:rPr>
          <w:rFonts w:hint="eastAsia" w:ascii="方正小标宋简体" w:hAnsi="Times New Roman" w:eastAsia="方正小标宋简体"/>
          <w:sz w:val="44"/>
          <w:szCs w:val="44"/>
          <w:lang w:eastAsia="zh-CN"/>
        </w:rPr>
        <w:t>要求</w:t>
      </w:r>
    </w:p>
    <w:p w14:paraId="6E97690F">
      <w:pPr>
        <w:spacing w:before="156" w:beforeLines="50" w:after="156" w:afterLines="50" w:line="440" w:lineRule="exact"/>
        <w:jc w:val="center"/>
        <w:rPr>
          <w:rFonts w:hint="eastAsia" w:ascii="方正小标宋简体" w:hAnsi="Times New Roman" w:eastAsia="方正小标宋简体"/>
          <w:sz w:val="44"/>
          <w:szCs w:val="44"/>
          <w:lang w:eastAsia="zh-CN"/>
        </w:rPr>
      </w:pPr>
    </w:p>
    <w:p w14:paraId="2EF177B6">
      <w:pPr>
        <w:spacing w:line="4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注：本次修订包括</w:t>
      </w:r>
      <w:bookmarkStart w:id="0" w:name="OLE_LINK12"/>
      <w:bookmarkStart w:id="1" w:name="OLE_LINK11"/>
      <w:r>
        <w:rPr>
          <w:rFonts w:hint="eastAsia" w:ascii="仿宋_GB2312" w:hAnsi="仿宋_GB2312" w:eastAsia="仿宋_GB2312" w:cs="仿宋_GB2312"/>
          <w:sz w:val="32"/>
          <w:szCs w:val="32"/>
        </w:rPr>
        <w:t>肌苷注射液、注射用肌苷、肌苷氯化钠注射液、肌苷葡萄糖注射液、肌苷注射液（静注）、肌苷注射液（肌注）。</w:t>
      </w:r>
      <w:bookmarkEnd w:id="0"/>
      <w:bookmarkEnd w:id="1"/>
    </w:p>
    <w:p w14:paraId="43324BD3">
      <w:pPr>
        <w:spacing w:line="440" w:lineRule="exact"/>
        <w:ind w:firstLine="640" w:firstLineChars="200"/>
        <w:rPr>
          <w:rFonts w:ascii="Calibri" w:hAnsi="Calibri" w:eastAsia="黑体" w:cs="Times New Roman"/>
          <w:sz w:val="32"/>
          <w:szCs w:val="32"/>
        </w:rPr>
      </w:pPr>
      <w:r>
        <w:rPr>
          <w:rFonts w:hint="eastAsia" w:ascii="Calibri" w:hAnsi="Calibri" w:eastAsia="黑体" w:cs="Times New Roman"/>
          <w:sz w:val="32"/>
          <w:szCs w:val="32"/>
        </w:rPr>
        <w:t>一、【不良反应】项下应包括：</w:t>
      </w:r>
    </w:p>
    <w:p w14:paraId="52E2E8A7">
      <w:pPr>
        <w:spacing w:line="44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上市后监测到肌苷注射制剂以下药品不良反应/事件（这些不良反应/事件来自于无法确定样本量的自发报告，难以准确估计其发生频率）：</w:t>
      </w:r>
    </w:p>
    <w:p w14:paraId="49C3CE85">
      <w:pPr>
        <w:spacing w:line="44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全身性疾病及给药部位各种反应：畏寒、寒战、发热、高热、胸闷、胸痛、乏力、疼痛、不适、肿胀、水肿、注射部位疼痛。</w:t>
      </w:r>
    </w:p>
    <w:p w14:paraId="64111754">
      <w:pPr>
        <w:spacing w:line="44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胃肠系统疾病：恶心、呕吐、腹痛、腹胀、腹泻、腹部不适、口干。</w:t>
      </w:r>
    </w:p>
    <w:p w14:paraId="3912DCAD">
      <w:pPr>
        <w:spacing w:line="44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皮肤及皮下组织类疾病：皮疹（荨麻疹、斑丘疹、丘疹）、瘙痒、红斑、皮肤发红、皮肤变色、多汗。</w:t>
      </w:r>
    </w:p>
    <w:p w14:paraId="6F0E0CEE">
      <w:pPr>
        <w:spacing w:line="44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血管与淋巴管类疾病：潮红、苍白、发绀、静脉炎、血压升高、血压下降。</w:t>
      </w:r>
    </w:p>
    <w:p w14:paraId="4132C722">
      <w:pPr>
        <w:spacing w:line="44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各类神经系统疾病：头晕、头痛、震颤、麻木。 </w:t>
      </w:r>
    </w:p>
    <w:p w14:paraId="2F9DEC4C">
      <w:pPr>
        <w:spacing w:line="44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心脏器官疾病：心悸、心动过速、心律失常。</w:t>
      </w:r>
    </w:p>
    <w:p w14:paraId="6A7F71D8">
      <w:pPr>
        <w:spacing w:line="44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呼吸系统、胸及纵隔疾病：呼吸急促、呼吸困难、窒息感、咳嗽、哮喘。</w:t>
      </w:r>
    </w:p>
    <w:p w14:paraId="26F05F8E">
      <w:pPr>
        <w:spacing w:line="44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免疫系统疾病：超敏反应、类过敏反应、过敏性休克。</w:t>
      </w:r>
    </w:p>
    <w:p w14:paraId="2DB47066">
      <w:pPr>
        <w:spacing w:line="44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各类损伤、中毒及操作并发症：输液相关反应。</w:t>
      </w:r>
    </w:p>
    <w:p w14:paraId="089C636E">
      <w:pPr>
        <w:spacing w:line="44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精神病类：抽搐、烦躁不安、精神障碍。</w:t>
      </w:r>
    </w:p>
    <w:p w14:paraId="73767291">
      <w:pPr>
        <w:spacing w:line="440" w:lineRule="exact"/>
        <w:ind w:left="630" w:leftChars="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各种肌肉骨骼及结缔组织疾病：背痛、肌痛。</w:t>
      </w:r>
    </w:p>
    <w:p w14:paraId="6D184E36">
      <w:pPr>
        <w:spacing w:line="440" w:lineRule="exact"/>
        <w:ind w:firstLine="640" w:firstLineChars="200"/>
        <w:rPr>
          <w:rFonts w:ascii="Calibri" w:hAnsi="Calibri" w:eastAsia="黑体" w:cs="Times New Roman"/>
          <w:sz w:val="32"/>
          <w:szCs w:val="32"/>
        </w:rPr>
      </w:pPr>
      <w:bookmarkStart w:id="2" w:name="OLE_LINK324"/>
      <w:bookmarkStart w:id="3" w:name="OLE_LINK325"/>
      <w:r>
        <w:rPr>
          <w:rFonts w:hint="eastAsia" w:ascii="Calibri" w:hAnsi="Calibri" w:eastAsia="黑体" w:cs="Times New Roman"/>
          <w:sz w:val="32"/>
          <w:szCs w:val="32"/>
        </w:rPr>
        <w:t>二、【禁忌】项下应包括：</w:t>
      </w:r>
    </w:p>
    <w:p w14:paraId="139A512F">
      <w:pPr>
        <w:spacing w:line="4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对本品过敏者禁用。</w:t>
      </w:r>
    </w:p>
    <w:bookmarkEnd w:id="2"/>
    <w:bookmarkEnd w:id="3"/>
    <w:p w14:paraId="7E0A7E85">
      <w:pPr>
        <w:spacing w:line="440" w:lineRule="exact"/>
        <w:ind w:firstLine="640" w:firstLineChars="200"/>
        <w:rPr>
          <w:rFonts w:ascii="Calibri" w:hAnsi="Calibri" w:eastAsia="黑体" w:cs="Times New Roman"/>
          <w:sz w:val="32"/>
          <w:szCs w:val="32"/>
        </w:rPr>
      </w:pPr>
      <w:r>
        <w:rPr>
          <w:rFonts w:hint="eastAsia" w:ascii="Calibri" w:hAnsi="Calibri" w:eastAsia="黑体" w:cs="Times New Roman"/>
          <w:sz w:val="32"/>
          <w:szCs w:val="32"/>
        </w:rPr>
        <w:t>三、【注意事项】项下应包括：</w:t>
      </w:r>
    </w:p>
    <w:p w14:paraId="31598B1F">
      <w:pPr>
        <w:spacing w:line="44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本品静脉滴注有引起心脏骤停和过敏性休克死亡的报道，建议应用时缓慢滴注并严密观察生命指征变化及过敏反应。</w:t>
      </w:r>
    </w:p>
    <w:p w14:paraId="6FCE1751">
      <w:pPr>
        <w:spacing w:line="44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上市后监测到本制剂可导致过敏反应，包括过敏性休克的严重病例报告，用药前应仔细询问患者用药史和过敏史，用药过程中注意观察，一旦出现皮疹、瘙痒、呼吸困难、血压下降等症状和体征，应当立即停药并及时治疗。</w:t>
      </w:r>
    </w:p>
    <w:p w14:paraId="5C555958">
      <w:pPr>
        <w:spacing w:line="44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（三）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使用前应详细检查，如有下列情况之一者，切勿使用：①药液混浊或变色。②瓶身或瓶口有细微破裂。③有棉絮状菌丝团。④封口松动。</w:t>
      </w:r>
    </w:p>
    <w:p w14:paraId="0AF2817D">
      <w:pPr>
        <w:spacing w:line="440" w:lineRule="exact"/>
        <w:ind w:firstLine="640" w:firstLineChars="200"/>
        <w:rPr>
          <w:rFonts w:ascii="Calibri" w:hAnsi="Calibri" w:eastAsia="黑体" w:cs="Times New Roman"/>
          <w:sz w:val="32"/>
          <w:szCs w:val="32"/>
        </w:rPr>
      </w:pPr>
      <w:r>
        <w:rPr>
          <w:rFonts w:hint="eastAsia" w:ascii="Calibri" w:hAnsi="Calibri" w:eastAsia="黑体" w:cs="Times New Roman"/>
          <w:sz w:val="32"/>
          <w:szCs w:val="32"/>
        </w:rPr>
        <w:t xml:space="preserve">四、【药物相互作用】项下应包括： </w:t>
      </w:r>
    </w:p>
    <w:p w14:paraId="44A43477">
      <w:pPr>
        <w:spacing w:line="44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本品禁</w:t>
      </w:r>
      <w:r>
        <w:rPr>
          <w:rFonts w:hint="default" w:ascii="Times New Roman" w:hAnsi="Times New Roman" w:eastAsia="仿宋_GB2312" w:cs="Times New Roman"/>
          <w:spacing w:val="6"/>
          <w:sz w:val="32"/>
          <w:szCs w:val="32"/>
        </w:rPr>
        <w:t>与下列注射液配伍：乳清酸、氯霉素，双嘧达莫、盐酸山梗菜碱、硫酸阿托品、氢溴酸东莨菪碱、盐酸氯丙嗪、盐酸异丙嗪、马来酸麦角新碱、盐酸普鲁卡因、硫喷妥钠、苯妥英钠、氯氮卓、盐酸去甲肾上腺素、盐酸丁卡因、利血平、硝普钠、降压嗪、呋噻米、利尿酸钠、促皮质素、维生素B12、盐酸苯海拉明、马来酸氯苯那敏、细胞色素C、盐酸万古霉素、盐酸四环素、二盐酸奎宁、盐酸阿糖胞苷、硫酸长春新碱以及所有菌苗和疫苗。盐酸多巴胺、止血敏和维生素C注射液应先稀释后再与本品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合。</w:t>
      </w:r>
    </w:p>
    <w:p w14:paraId="63E34731">
      <w:pPr>
        <w:spacing w:line="44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2E85A64">
      <w:pPr>
        <w:spacing w:line="44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de-D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de-DE"/>
        </w:rPr>
        <w:t>（注：如原批准说明书的安全性内容较本修订要求内容更全面或更严格的，应保留原批准内容。说明书其他内容如与上述修订要求不一致的，应当一并进行修订。）</w:t>
      </w:r>
    </w:p>
    <w:p w14:paraId="3AA8917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F82190"/>
    <w:rsid w:val="4EF82190"/>
    <w:rsid w:val="5462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A0A0A0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1033</Words>
  <Characters>1035</Characters>
  <Lines>0</Lines>
  <Paragraphs>0</Paragraphs>
  <TotalTime>0</TotalTime>
  <ScaleCrop>false</ScaleCrop>
  <LinksUpToDate>false</LinksUpToDate>
  <CharactersWithSpaces>1037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2026-09-04T08:30:00Z</dcterms:created>
  <dc:creator>YU</dc:creator>
  <cp:lastModifiedBy>z</cp:lastModifiedBy>
  <dcterms:modified xsi:type="dcterms:W3CDTF">2026-09-14T05:30:01Z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31735CEB2B2E4FF4B52353F38790D832_13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