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74425">
      <w:pPr>
        <w:spacing w:beforeLines="0" w:afterLines="0" w:line="600" w:lineRule="exact"/>
        <w:ind w:firstLine="0" w:firstLineChars="0"/>
        <w:outlineLvl w:val="0"/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/>
        </w:rPr>
      </w:pPr>
      <w:bookmarkStart w:id="6" w:name="_GoBack"/>
      <w:bookmarkEnd w:id="6"/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/>
        </w:rPr>
        <w:t>1</w:t>
      </w:r>
    </w:p>
    <w:p w14:paraId="5F8091BD">
      <w:pPr>
        <w:spacing w:beforeLines="0" w:afterLines="0" w:line="600" w:lineRule="exact"/>
        <w:ind w:firstLine="0" w:firstLineChars="0"/>
        <w:outlineLvl w:val="0"/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/>
        </w:rPr>
      </w:pPr>
    </w:p>
    <w:p w14:paraId="4D9A6C49">
      <w:pPr>
        <w:spacing w:before="0" w:beforeLines="0" w:after="0" w:afterLines="0"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lang w:eastAsia="zh-CN"/>
        </w:rPr>
      </w:pPr>
      <w:r>
        <w:rPr>
          <w:rFonts w:ascii="Times New Roman" w:hAnsi="Times New Roman" w:eastAsia="方正小标宋简体" w:cs="Times New Roman"/>
          <w:bCs/>
          <w:color w:val="000000"/>
          <w:sz w:val="44"/>
          <w:szCs w:val="44"/>
        </w:rPr>
        <w:t>降脂灵制剂说明书修订</w:t>
      </w: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lang w:eastAsia="zh-CN"/>
        </w:rPr>
        <w:t>要求</w:t>
      </w:r>
    </w:p>
    <w:p w14:paraId="524BAA55">
      <w:pPr>
        <w:spacing w:before="0" w:beforeLines="0" w:after="0" w:afterLines="0"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lang w:eastAsia="zh-CN"/>
        </w:rPr>
      </w:pPr>
    </w:p>
    <w:p w14:paraId="14591A8F">
      <w:pPr>
        <w:spacing w:beforeLines="0" w:afterLines="0" w:line="600" w:lineRule="exact"/>
        <w:ind w:firstLine="640"/>
        <w:jc w:val="lef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一、【不良反应】项应当包括</w:t>
      </w:r>
    </w:p>
    <w:p w14:paraId="0BC322E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上市后监测数据显示，降脂灵制剂可见以下不良反应报告：</w:t>
      </w:r>
    </w:p>
    <w:p w14:paraId="7760C98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bookmarkStart w:id="0" w:name="OLE_LINK119"/>
      <w:bookmarkStart w:id="1" w:name="OLE_LINK118"/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1.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胃肠系统疾病：腹泻、恶心、腹痛、呕吐、腹胀、胃肠胀气、胃不适、口干等。</w:t>
      </w:r>
    </w:p>
    <w:p w14:paraId="3DB6009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2.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各类神经系统疾病：头晕、头痛等。</w:t>
      </w:r>
    </w:p>
    <w:p w14:paraId="284F7E2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3.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皮肤及皮下组织类疾病：皮疹、瘙痒等。</w:t>
      </w:r>
    </w:p>
    <w:p w14:paraId="09168F1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4.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肝胆系统损害：肝功能异常等。</w:t>
      </w:r>
    </w:p>
    <w:p w14:paraId="5D624DA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5.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其他：乏力、胸闷等。降脂灵制剂有发生过敏性休克的个例报告。</w:t>
      </w:r>
    </w:p>
    <w:bookmarkEnd w:id="0"/>
    <w:bookmarkEnd w:id="1"/>
    <w:p w14:paraId="749923DB">
      <w:pPr>
        <w:spacing w:beforeLines="0" w:afterLines="0" w:line="600" w:lineRule="exact"/>
        <w:ind w:firstLine="640"/>
        <w:jc w:val="lef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二、【禁忌】项应当包括</w:t>
      </w:r>
    </w:p>
    <w:p w14:paraId="62DAF4B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bookmarkStart w:id="2" w:name="OLE_LINK44"/>
      <w:bookmarkStart w:id="3" w:name="OLE_LINK45"/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1.肝功能不全者禁用。</w:t>
      </w:r>
    </w:p>
    <w:p w14:paraId="0F8D503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2.孕妇禁用。</w:t>
      </w:r>
    </w:p>
    <w:p w14:paraId="64CC633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3.对本品及所含成份过敏者禁用。</w:t>
      </w:r>
    </w:p>
    <w:bookmarkEnd w:id="2"/>
    <w:bookmarkEnd w:id="3"/>
    <w:p w14:paraId="64BACEF3">
      <w:pPr>
        <w:spacing w:beforeLines="0" w:afterLines="0" w:line="600" w:lineRule="exact"/>
        <w:ind w:firstLine="640"/>
        <w:jc w:val="lef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  <w:lang w:eastAsia="zh-CN"/>
        </w:rPr>
        <w:t>三</w:t>
      </w:r>
      <w:r>
        <w:rPr>
          <w:rFonts w:ascii="Times New Roman" w:hAnsi="Times New Roman" w:eastAsia="黑体" w:cs="Times New Roman"/>
          <w:bCs/>
          <w:sz w:val="32"/>
          <w:szCs w:val="32"/>
        </w:rPr>
        <w:t>、【注意事项】项应当包括</w:t>
      </w:r>
    </w:p>
    <w:p w14:paraId="7FD1960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1.</w:t>
      </w:r>
      <w:bookmarkStart w:id="4" w:name="OLE_LINK51"/>
      <w:bookmarkStart w:id="5" w:name="OLE_LINK49"/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严格按照用法用量使用，不宜超剂量、长期连续用药。</w:t>
      </w:r>
    </w:p>
    <w:p w14:paraId="1D7D637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2.已知有本品或组方药物肝损伤个人史的患者不宜使用。</w:t>
      </w:r>
    </w:p>
    <w:p w14:paraId="67BD0552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3.有肝病史或肝生化指标异常者慎用。</w:t>
      </w:r>
    </w:p>
    <w:p w14:paraId="2122440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4.已知有本品或组方药物肝损伤家族史的患者慎用。</w:t>
      </w:r>
    </w:p>
    <w:p w14:paraId="205B504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5.服药期间应注意监测肝生化指标，如发现肝生化指标异常或出现全身乏力、食欲不振、厌油腻、恶心、上腹胀痛、尿黄、目黄、皮肤黄染等可能与肝损伤有关的临床表现时，或原有肝生化指标异常、肝损伤临床症状加重时，应立即停药并就医。</w:t>
      </w:r>
    </w:p>
    <w:bookmarkEnd w:id="4"/>
    <w:bookmarkEnd w:id="5"/>
    <w:p w14:paraId="19480F2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6.应当注意避免与有肝毒性的药物联合使用。</w:t>
      </w:r>
    </w:p>
    <w:p w14:paraId="2249EDF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7.过敏体质者慎用，降脂灵制剂有发生过敏性休克的个例报告。</w:t>
      </w:r>
    </w:p>
    <w:p w14:paraId="24CDCC7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8.脾虚腹泻者慎用。</w:t>
      </w:r>
    </w:p>
    <w:p w14:paraId="6B658B5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51BA5F9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（注：如原批准说明书的安全性内容较本修订要求内容更全面或更严格的，应当保留原批准内容，说明书其他内容如与上述修订要求不一致的，应当一并进行修订。）</w:t>
      </w:r>
    </w:p>
    <w:p w14:paraId="1C7CD9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0D2F77"/>
    <w:rsid w:val="3A0B6BE1"/>
    <w:rsid w:val="3D2F79B2"/>
    <w:rsid w:val="640D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A0A0A0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554</Words>
  <Characters>570</Characters>
  <Lines>0</Lines>
  <Paragraphs>0</Paragraphs>
  <TotalTime>0</TotalTime>
  <ScaleCrop>false</ScaleCrop>
  <LinksUpToDate>false</LinksUpToDate>
  <CharactersWithSpaces>570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2026-10-22T10:07:00Z</dcterms:created>
  <dc:creator>YU</dc:creator>
  <cp:lastModifiedBy>z</cp:lastModifiedBy>
  <dcterms:modified xsi:type="dcterms:W3CDTF">2026-10-28T00:30:16Z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780CB95482434099BED48C473180F384_13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