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A1F1E62">
      <w:pPr>
        <w:spacing w:beforeLines="0" w:afterLines="0" w:line="600" w:lineRule="exact"/>
        <w:ind w:firstLine="0" w:firstLineChars="0"/>
        <w:rPr>
          <w:rFonts w:hint="eastAsia" w:ascii="黑体" w:hAnsi="黑体" w:eastAsia="黑体" w:cs="黑体"/>
          <w:bCs/>
          <w:color w:val="000000"/>
          <w:sz w:val="32"/>
          <w:szCs w:val="32"/>
        </w:rPr>
      </w:pPr>
      <w:bookmarkStart w:id="0" w:name="_GoBack"/>
      <w:bookmarkEnd w:id="0"/>
      <w:r>
        <w:rPr>
          <w:rFonts w:hint="eastAsia" w:ascii="黑体" w:hAnsi="黑体" w:eastAsia="黑体" w:cs="黑体"/>
          <w:bCs/>
          <w:color w:val="000000"/>
          <w:sz w:val="32"/>
          <w:szCs w:val="32"/>
        </w:rPr>
        <w:t>附件2</w:t>
      </w:r>
    </w:p>
    <w:p w14:paraId="43BF8352">
      <w:pPr>
        <w:spacing w:beforeLines="0" w:afterLines="0" w:line="600" w:lineRule="exact"/>
        <w:ind w:firstLine="0" w:firstLineChars="0"/>
        <w:rPr>
          <w:rFonts w:hint="eastAsia" w:ascii="黑体" w:hAnsi="黑体" w:eastAsia="黑体" w:cs="黑体"/>
          <w:bCs/>
          <w:color w:val="000000"/>
          <w:sz w:val="32"/>
          <w:szCs w:val="32"/>
        </w:rPr>
      </w:pPr>
    </w:p>
    <w:p w14:paraId="1C5C7A87">
      <w:pPr>
        <w:spacing w:before="0" w:beforeLines="0" w:after="0" w:afterLines="0" w:line="600" w:lineRule="exact"/>
        <w:ind w:firstLine="0" w:firstLineChars="0"/>
        <w:jc w:val="center"/>
        <w:rPr>
          <w:rFonts w:hint="eastAsia" w:ascii="Times New Roman" w:hAnsi="Times New Roman" w:eastAsia="方正小标宋简体" w:cs="Times New Roman"/>
          <w:bCs/>
          <w:color w:val="000000"/>
          <w:sz w:val="44"/>
          <w:szCs w:val="44"/>
          <w:lang w:eastAsia="zh-CN"/>
        </w:rPr>
      </w:pPr>
      <w:r>
        <w:rPr>
          <w:rFonts w:ascii="Times New Roman" w:hAnsi="Times New Roman" w:eastAsia="方正小标宋简体" w:cs="Times New Roman"/>
          <w:bCs/>
          <w:color w:val="000000"/>
          <w:sz w:val="44"/>
          <w:szCs w:val="44"/>
        </w:rPr>
        <w:t>乳块消口服制剂说明书修订</w:t>
      </w:r>
      <w:r>
        <w:rPr>
          <w:rFonts w:hint="eastAsia" w:ascii="Times New Roman" w:hAnsi="Times New Roman" w:eastAsia="方正小标宋简体" w:cs="Times New Roman"/>
          <w:bCs/>
          <w:color w:val="000000"/>
          <w:sz w:val="44"/>
          <w:szCs w:val="44"/>
          <w:lang w:eastAsia="zh-CN"/>
        </w:rPr>
        <w:t>要求</w:t>
      </w:r>
    </w:p>
    <w:p w14:paraId="5E73F3D2">
      <w:pPr>
        <w:spacing w:before="0" w:beforeLines="0" w:after="0" w:afterLines="0" w:line="600" w:lineRule="exact"/>
        <w:ind w:firstLine="0" w:firstLineChars="0"/>
        <w:jc w:val="center"/>
        <w:rPr>
          <w:rFonts w:hint="eastAsia" w:ascii="Times New Roman" w:hAnsi="Times New Roman" w:eastAsia="方正小标宋简体" w:cs="Times New Roman"/>
          <w:bCs/>
          <w:color w:val="000000"/>
          <w:sz w:val="44"/>
          <w:szCs w:val="44"/>
          <w:lang w:eastAsia="zh-CN"/>
        </w:rPr>
      </w:pPr>
    </w:p>
    <w:p w14:paraId="61797390">
      <w:pPr>
        <w:spacing w:beforeLines="0" w:afterLines="0" w:line="600" w:lineRule="exact"/>
        <w:ind w:firstLine="640"/>
        <w:jc w:val="left"/>
        <w:rPr>
          <w:rFonts w:ascii="Times New Roman" w:hAnsi="Times New Roman" w:eastAsia="黑体" w:cs="Times New Roman"/>
          <w:bCs/>
          <w:sz w:val="32"/>
          <w:szCs w:val="32"/>
        </w:rPr>
      </w:pPr>
      <w:r>
        <w:rPr>
          <w:rFonts w:ascii="Times New Roman" w:hAnsi="Times New Roman" w:eastAsia="黑体" w:cs="Times New Roman"/>
          <w:bCs/>
          <w:sz w:val="32"/>
          <w:szCs w:val="32"/>
        </w:rPr>
        <w:t>一、</w:t>
      </w:r>
      <w:r>
        <w:rPr>
          <w:rFonts w:hint="default" w:ascii="Times New Roman" w:hAnsi="Times New Roman" w:eastAsia="黑体" w:cs="Times New Roman"/>
          <w:bCs/>
          <w:sz w:val="32"/>
          <w:szCs w:val="32"/>
        </w:rPr>
        <w:t>警示语应当包括</w:t>
      </w:r>
    </w:p>
    <w:p w14:paraId="586A7CDD">
      <w:pPr>
        <w:pStyle w:val="2"/>
        <w:spacing w:before="0" w:beforeLines="0" w:beforeAutospacing="0" w:after="0" w:afterLines="0" w:afterAutospacing="0" w:line="600" w:lineRule="exact"/>
        <w:ind w:firstLine="640" w:firstLineChars="200"/>
        <w:rPr>
          <w:rFonts w:hint="default" w:ascii="Times New Roman" w:hAnsi="Times New Roman" w:eastAsia="仿宋" w:cs="Times New Roman"/>
          <w:color w:val="000000"/>
          <w:sz w:val="32"/>
          <w:lang w:val="en-US"/>
        </w:rPr>
      </w:pPr>
      <w:r>
        <w:rPr>
          <w:rFonts w:hint="eastAsia" w:ascii="Times New Roman" w:hAnsi="Times New Roman" w:eastAsia="仿宋_GB2312" w:cs="Times New Roman"/>
          <w:color w:val="000000"/>
          <w:kern w:val="2"/>
          <w:sz w:val="32"/>
          <w:szCs w:val="32"/>
          <w:lang w:val="en-US" w:eastAsia="zh-CN" w:bidi="ar-SA"/>
        </w:rPr>
        <w:t>孕妇禁用。</w:t>
      </w:r>
    </w:p>
    <w:p w14:paraId="4EEE9F29">
      <w:pPr>
        <w:spacing w:beforeLines="0" w:afterLines="0" w:line="600" w:lineRule="exact"/>
        <w:ind w:firstLine="640"/>
        <w:jc w:val="left"/>
        <w:rPr>
          <w:rFonts w:ascii="Times New Roman" w:hAnsi="Times New Roman" w:eastAsia="黑体" w:cs="Times New Roman"/>
          <w:bCs/>
          <w:sz w:val="32"/>
          <w:szCs w:val="32"/>
        </w:rPr>
      </w:pPr>
      <w:r>
        <w:rPr>
          <w:rFonts w:hint="default" w:ascii="Times New Roman" w:hAnsi="Times New Roman" w:eastAsia="黑体" w:cs="Times New Roman"/>
          <w:bCs/>
          <w:sz w:val="32"/>
          <w:szCs w:val="32"/>
        </w:rPr>
        <w:t>二、</w:t>
      </w:r>
      <w:r>
        <w:rPr>
          <w:rFonts w:ascii="Times New Roman" w:hAnsi="Times New Roman" w:eastAsia="黑体" w:cs="Times New Roman"/>
          <w:bCs/>
          <w:sz w:val="32"/>
          <w:szCs w:val="32"/>
        </w:rPr>
        <w:t>【不良反应】项应当包括</w:t>
      </w:r>
    </w:p>
    <w:p w14:paraId="34451A0D">
      <w:pPr>
        <w:pStyle w:val="2"/>
        <w:spacing w:before="0" w:beforeLines="0" w:beforeAutospacing="0" w:after="0" w:afterLines="0" w:afterAutospacing="0" w:line="600" w:lineRule="exact"/>
        <w:ind w:firstLine="640" w:firstLineChars="200"/>
        <w:rPr>
          <w:rFonts w:hint="default" w:ascii="Times New Roman" w:hAnsi="Times New Roman" w:eastAsia="仿宋_GB2312" w:cs="Times New Roman"/>
          <w:color w:val="000000"/>
          <w:kern w:val="2"/>
          <w:sz w:val="32"/>
          <w:szCs w:val="32"/>
          <w:lang w:val="en-US" w:eastAsia="zh-CN" w:bidi="ar-SA"/>
        </w:rPr>
      </w:pPr>
      <w:r>
        <w:rPr>
          <w:rFonts w:hint="default" w:ascii="Times New Roman" w:hAnsi="Times New Roman" w:eastAsia="仿宋_GB2312" w:cs="Times New Roman"/>
          <w:color w:val="000000"/>
          <w:kern w:val="2"/>
          <w:sz w:val="32"/>
          <w:szCs w:val="32"/>
          <w:lang w:val="en-US" w:eastAsia="zh-CN" w:bidi="ar-SA"/>
        </w:rPr>
        <w:t>监测数据显示，乳块消口服制剂可见以下不良反应报告：</w:t>
      </w:r>
    </w:p>
    <w:p w14:paraId="597D08F4">
      <w:pPr>
        <w:pStyle w:val="2"/>
        <w:spacing w:before="0" w:beforeLines="0" w:beforeAutospacing="0" w:after="0" w:afterLines="0" w:afterAutospacing="0" w:line="600" w:lineRule="exact"/>
        <w:ind w:firstLine="640" w:firstLineChars="200"/>
        <w:rPr>
          <w:rFonts w:hint="default" w:ascii="Times New Roman" w:hAnsi="Times New Roman" w:eastAsia="仿宋_GB2312" w:cs="Times New Roman"/>
          <w:color w:val="000000"/>
          <w:kern w:val="2"/>
          <w:sz w:val="32"/>
          <w:szCs w:val="32"/>
          <w:lang w:val="en-US" w:eastAsia="zh-CN" w:bidi="ar-SA"/>
        </w:rPr>
      </w:pPr>
      <w:r>
        <w:rPr>
          <w:rFonts w:hint="default" w:ascii="Times New Roman" w:hAnsi="Times New Roman" w:eastAsia="仿宋_GB2312" w:cs="Times New Roman"/>
          <w:color w:val="000000"/>
          <w:kern w:val="2"/>
          <w:sz w:val="32"/>
          <w:szCs w:val="32"/>
          <w:lang w:val="en-US" w:eastAsia="zh-CN" w:bidi="ar-SA"/>
        </w:rPr>
        <w:t>1.胃肠系统疾病：恶心、腹痛、腹部不适、腹泻、呕吐、腹胀、口干等。</w:t>
      </w:r>
    </w:p>
    <w:p w14:paraId="01C3F142">
      <w:pPr>
        <w:pStyle w:val="2"/>
        <w:spacing w:before="0" w:beforeLines="0" w:beforeAutospacing="0" w:after="0" w:afterLines="0" w:afterAutospacing="0" w:line="600" w:lineRule="exact"/>
        <w:ind w:firstLine="640" w:firstLineChars="200"/>
        <w:rPr>
          <w:rFonts w:hint="default" w:ascii="Times New Roman" w:hAnsi="Times New Roman" w:eastAsia="仿宋_GB2312" w:cs="Times New Roman"/>
          <w:color w:val="000000"/>
          <w:kern w:val="2"/>
          <w:sz w:val="32"/>
          <w:szCs w:val="32"/>
          <w:lang w:val="en-US" w:eastAsia="zh-CN" w:bidi="ar-SA"/>
        </w:rPr>
      </w:pPr>
      <w:r>
        <w:rPr>
          <w:rFonts w:hint="default" w:ascii="Times New Roman" w:hAnsi="Times New Roman" w:eastAsia="仿宋_GB2312" w:cs="Times New Roman"/>
          <w:color w:val="000000"/>
          <w:kern w:val="2"/>
          <w:sz w:val="32"/>
          <w:szCs w:val="32"/>
          <w:lang w:val="en-US" w:eastAsia="zh-CN" w:bidi="ar-SA"/>
        </w:rPr>
        <w:t>2.皮肤及皮下组织类疾病：皮疹、瘙痒等。</w:t>
      </w:r>
    </w:p>
    <w:p w14:paraId="6030B013">
      <w:pPr>
        <w:pStyle w:val="2"/>
        <w:spacing w:before="0" w:beforeLines="0" w:beforeAutospacing="0" w:after="0" w:afterLines="0" w:afterAutospacing="0" w:line="600" w:lineRule="exact"/>
        <w:ind w:firstLine="640" w:firstLineChars="200"/>
        <w:rPr>
          <w:rFonts w:hint="default" w:ascii="Times New Roman" w:hAnsi="Times New Roman" w:eastAsia="仿宋_GB2312" w:cs="Times New Roman"/>
          <w:color w:val="000000"/>
          <w:kern w:val="2"/>
          <w:sz w:val="32"/>
          <w:szCs w:val="32"/>
          <w:lang w:val="en-US" w:eastAsia="zh-CN" w:bidi="ar-SA"/>
        </w:rPr>
      </w:pPr>
      <w:r>
        <w:rPr>
          <w:rFonts w:hint="default" w:ascii="Times New Roman" w:hAnsi="Times New Roman" w:eastAsia="仿宋_GB2312" w:cs="Times New Roman"/>
          <w:color w:val="000000"/>
          <w:kern w:val="2"/>
          <w:sz w:val="32"/>
          <w:szCs w:val="32"/>
          <w:lang w:val="en-US" w:eastAsia="zh-CN" w:bidi="ar-SA"/>
        </w:rPr>
        <w:t>3.各类神经系统疾病：头晕、头痛等。</w:t>
      </w:r>
    </w:p>
    <w:p w14:paraId="348F79C2">
      <w:pPr>
        <w:pStyle w:val="2"/>
        <w:spacing w:before="0" w:beforeLines="0" w:beforeAutospacing="0" w:after="0" w:afterLines="0" w:afterAutospacing="0" w:line="600" w:lineRule="exact"/>
        <w:ind w:firstLine="640" w:firstLineChars="200"/>
        <w:rPr>
          <w:rFonts w:hint="default" w:ascii="Times New Roman" w:hAnsi="Times New Roman" w:eastAsia="仿宋_GB2312" w:cs="Times New Roman"/>
          <w:color w:val="000000"/>
          <w:kern w:val="2"/>
          <w:sz w:val="32"/>
          <w:szCs w:val="32"/>
          <w:lang w:val="en-US" w:eastAsia="zh-CN" w:bidi="ar-SA"/>
        </w:rPr>
      </w:pPr>
      <w:r>
        <w:rPr>
          <w:rFonts w:hint="default" w:ascii="Times New Roman" w:hAnsi="Times New Roman" w:eastAsia="仿宋_GB2312" w:cs="Times New Roman"/>
          <w:color w:val="000000"/>
          <w:kern w:val="2"/>
          <w:sz w:val="32"/>
          <w:szCs w:val="32"/>
          <w:lang w:val="en-US" w:eastAsia="zh-CN" w:bidi="ar-SA"/>
        </w:rPr>
        <w:t>4.生殖系统及乳腺疾病：月经不调、月经出血过多、阴道出血、乳房疼痛等。</w:t>
      </w:r>
    </w:p>
    <w:p w14:paraId="133F15D1">
      <w:pPr>
        <w:pStyle w:val="2"/>
        <w:spacing w:before="0" w:beforeLines="0" w:beforeAutospacing="0" w:after="0" w:afterLines="0" w:afterAutospacing="0" w:line="600" w:lineRule="exact"/>
        <w:ind w:firstLine="640" w:firstLineChars="200"/>
        <w:rPr>
          <w:rFonts w:hint="default" w:ascii="Times New Roman" w:hAnsi="Times New Roman" w:eastAsia="仿宋_GB2312" w:cs="Times New Roman"/>
          <w:color w:val="000000"/>
          <w:kern w:val="2"/>
          <w:sz w:val="32"/>
          <w:szCs w:val="32"/>
          <w:lang w:val="en-US" w:eastAsia="zh-CN" w:bidi="ar-SA"/>
        </w:rPr>
      </w:pPr>
      <w:r>
        <w:rPr>
          <w:rFonts w:hint="default" w:ascii="Times New Roman" w:hAnsi="Times New Roman" w:eastAsia="仿宋_GB2312" w:cs="Times New Roman"/>
          <w:color w:val="000000"/>
          <w:kern w:val="2"/>
          <w:sz w:val="32"/>
          <w:szCs w:val="32"/>
          <w:lang w:val="en-US" w:eastAsia="zh-CN" w:bidi="ar-SA"/>
        </w:rPr>
        <w:t>5.肝胆系统疾病：肝损伤等。</w:t>
      </w:r>
    </w:p>
    <w:p w14:paraId="53934B96">
      <w:pPr>
        <w:pStyle w:val="2"/>
        <w:spacing w:before="0" w:beforeLines="0" w:beforeAutospacing="0" w:after="0" w:afterLines="0" w:afterAutospacing="0" w:line="600" w:lineRule="exact"/>
        <w:ind w:firstLine="640" w:firstLineChars="200"/>
        <w:rPr>
          <w:rFonts w:hint="default" w:ascii="Times New Roman" w:hAnsi="Times New Roman" w:eastAsia="仿宋_GB2312" w:cs="Times New Roman"/>
          <w:color w:val="000000"/>
          <w:kern w:val="2"/>
          <w:sz w:val="32"/>
          <w:szCs w:val="32"/>
          <w:lang w:val="en-US" w:eastAsia="zh-CN" w:bidi="ar-SA"/>
        </w:rPr>
      </w:pPr>
      <w:r>
        <w:rPr>
          <w:rFonts w:hint="default" w:ascii="Times New Roman" w:hAnsi="Times New Roman" w:eastAsia="仿宋_GB2312" w:cs="Times New Roman"/>
          <w:color w:val="000000"/>
          <w:kern w:val="2"/>
          <w:sz w:val="32"/>
          <w:szCs w:val="32"/>
          <w:lang w:val="en-US" w:eastAsia="zh-CN" w:bidi="ar-SA"/>
        </w:rPr>
        <w:t>6.其他：胸闷、乏力、失眠、高血压、过敏反应、食欲减退等。</w:t>
      </w:r>
    </w:p>
    <w:p w14:paraId="6BCBDE4C">
      <w:pPr>
        <w:spacing w:beforeLines="0" w:afterLines="0" w:line="600" w:lineRule="exact"/>
        <w:ind w:firstLine="640"/>
        <w:jc w:val="left"/>
        <w:rPr>
          <w:rFonts w:ascii="Times New Roman" w:hAnsi="Times New Roman" w:eastAsia="黑体" w:cs="Times New Roman"/>
          <w:bCs/>
          <w:sz w:val="32"/>
          <w:szCs w:val="32"/>
        </w:rPr>
      </w:pPr>
      <w:r>
        <w:rPr>
          <w:rFonts w:hint="default" w:ascii="Times New Roman" w:hAnsi="Times New Roman" w:eastAsia="黑体" w:cs="Times New Roman"/>
          <w:bCs/>
          <w:sz w:val="32"/>
          <w:szCs w:val="32"/>
        </w:rPr>
        <w:t>三</w:t>
      </w:r>
      <w:r>
        <w:rPr>
          <w:rFonts w:ascii="Times New Roman" w:hAnsi="Times New Roman" w:eastAsia="黑体" w:cs="Times New Roman"/>
          <w:bCs/>
          <w:sz w:val="32"/>
          <w:szCs w:val="32"/>
        </w:rPr>
        <w:t>、【禁忌】项应当包括</w:t>
      </w:r>
    </w:p>
    <w:p w14:paraId="7A4DE674">
      <w:pPr>
        <w:pStyle w:val="2"/>
        <w:spacing w:before="0" w:beforeLines="0" w:beforeAutospacing="0" w:after="0" w:afterLines="0" w:afterAutospacing="0" w:line="600" w:lineRule="exact"/>
        <w:ind w:firstLine="640" w:firstLineChars="200"/>
        <w:rPr>
          <w:rFonts w:hint="default" w:ascii="Times New Roman" w:hAnsi="Times New Roman" w:eastAsia="仿宋_GB2312" w:cs="Times New Roman"/>
          <w:color w:val="000000"/>
          <w:kern w:val="2"/>
          <w:sz w:val="32"/>
          <w:szCs w:val="32"/>
          <w:lang w:val="en-US" w:eastAsia="zh-CN" w:bidi="ar-SA"/>
        </w:rPr>
      </w:pPr>
      <w:r>
        <w:rPr>
          <w:rFonts w:hint="eastAsia" w:ascii="Times New Roman" w:hAnsi="Times New Roman" w:eastAsia="仿宋" w:cs="Times New Roman"/>
          <w:color w:val="000000"/>
          <w:sz w:val="32"/>
          <w:lang w:val="en-US" w:eastAsia="zh-CN"/>
        </w:rPr>
        <w:t>1.</w:t>
      </w:r>
      <w:r>
        <w:rPr>
          <w:rFonts w:hint="default" w:ascii="Times New Roman" w:hAnsi="Times New Roman" w:eastAsia="仿宋_GB2312" w:cs="Times New Roman"/>
          <w:color w:val="000000"/>
          <w:kern w:val="2"/>
          <w:sz w:val="32"/>
          <w:szCs w:val="32"/>
          <w:lang w:val="en-US" w:eastAsia="zh-CN" w:bidi="ar-SA"/>
        </w:rPr>
        <w:t>肝功能不全者禁用。</w:t>
      </w:r>
    </w:p>
    <w:p w14:paraId="5699E66C">
      <w:pPr>
        <w:pStyle w:val="2"/>
        <w:spacing w:before="0" w:beforeLines="0" w:beforeAutospacing="0" w:after="0" w:afterLines="0" w:afterAutospacing="0" w:line="600" w:lineRule="exact"/>
        <w:ind w:firstLine="640" w:firstLineChars="200"/>
        <w:rPr>
          <w:rFonts w:hint="default" w:ascii="Times New Roman" w:hAnsi="Times New Roman" w:eastAsia="仿宋_GB2312" w:cs="Times New Roman"/>
          <w:color w:val="000000"/>
          <w:kern w:val="2"/>
          <w:sz w:val="32"/>
          <w:szCs w:val="32"/>
          <w:lang w:val="en-US" w:eastAsia="zh-CN" w:bidi="ar-SA"/>
        </w:rPr>
      </w:pPr>
      <w:r>
        <w:rPr>
          <w:rFonts w:hint="default" w:ascii="Times New Roman" w:hAnsi="Times New Roman" w:eastAsia="仿宋_GB2312" w:cs="Times New Roman"/>
          <w:color w:val="000000"/>
          <w:kern w:val="2"/>
          <w:sz w:val="32"/>
          <w:szCs w:val="32"/>
          <w:lang w:val="en-US" w:eastAsia="zh-CN" w:bidi="ar-SA"/>
        </w:rPr>
        <w:t>2</w:t>
      </w:r>
      <w:r>
        <w:rPr>
          <w:rFonts w:hint="eastAsia" w:ascii="Times New Roman" w:hAnsi="Times New Roman" w:eastAsia="仿宋_GB2312" w:cs="Times New Roman"/>
          <w:color w:val="000000"/>
          <w:kern w:val="2"/>
          <w:sz w:val="32"/>
          <w:szCs w:val="32"/>
          <w:lang w:val="en-US" w:eastAsia="zh-CN" w:bidi="ar-SA"/>
        </w:rPr>
        <w:t>.</w:t>
      </w:r>
      <w:r>
        <w:rPr>
          <w:rFonts w:hint="default" w:ascii="Times New Roman" w:hAnsi="Times New Roman" w:eastAsia="仿宋_GB2312" w:cs="Times New Roman"/>
          <w:color w:val="000000"/>
          <w:kern w:val="2"/>
          <w:sz w:val="32"/>
          <w:szCs w:val="32"/>
          <w:lang w:val="en-US" w:eastAsia="zh-CN" w:bidi="ar-SA"/>
        </w:rPr>
        <w:t>有药物性肝损伤病史者禁用。</w:t>
      </w:r>
    </w:p>
    <w:p w14:paraId="29FF7370">
      <w:pPr>
        <w:pStyle w:val="2"/>
        <w:spacing w:before="0" w:beforeLines="0" w:beforeAutospacing="0" w:after="0" w:afterLines="0" w:afterAutospacing="0" w:line="600" w:lineRule="exact"/>
        <w:ind w:firstLine="640" w:firstLineChars="200"/>
        <w:rPr>
          <w:rFonts w:hint="default" w:ascii="Times New Roman" w:hAnsi="Times New Roman" w:eastAsia="仿宋_GB2312" w:cs="Times New Roman"/>
          <w:color w:val="000000"/>
          <w:kern w:val="2"/>
          <w:sz w:val="32"/>
          <w:szCs w:val="32"/>
          <w:lang w:val="en-US" w:eastAsia="zh-CN" w:bidi="ar-SA"/>
        </w:rPr>
      </w:pPr>
      <w:r>
        <w:rPr>
          <w:rFonts w:hint="default" w:ascii="Times New Roman" w:hAnsi="Times New Roman" w:eastAsia="仿宋_GB2312" w:cs="Times New Roman"/>
          <w:color w:val="000000"/>
          <w:kern w:val="2"/>
          <w:sz w:val="32"/>
          <w:szCs w:val="32"/>
          <w:lang w:val="en-US" w:eastAsia="zh-CN" w:bidi="ar-SA"/>
        </w:rPr>
        <w:t>3</w:t>
      </w:r>
      <w:r>
        <w:rPr>
          <w:rFonts w:hint="eastAsia" w:ascii="Times New Roman" w:hAnsi="Times New Roman" w:eastAsia="仿宋_GB2312" w:cs="Times New Roman"/>
          <w:color w:val="000000"/>
          <w:kern w:val="2"/>
          <w:sz w:val="32"/>
          <w:szCs w:val="32"/>
          <w:lang w:val="en-US" w:eastAsia="zh-CN" w:bidi="ar-SA"/>
        </w:rPr>
        <w:t>.</w:t>
      </w:r>
      <w:r>
        <w:rPr>
          <w:rFonts w:hint="default" w:ascii="Times New Roman" w:hAnsi="Times New Roman" w:eastAsia="仿宋_GB2312" w:cs="Times New Roman"/>
          <w:color w:val="000000"/>
          <w:kern w:val="2"/>
          <w:sz w:val="32"/>
          <w:szCs w:val="32"/>
          <w:lang w:val="en-US" w:eastAsia="zh-CN" w:bidi="ar-SA"/>
        </w:rPr>
        <w:t>孕妇禁用。</w:t>
      </w:r>
    </w:p>
    <w:p w14:paraId="7D271A11">
      <w:pPr>
        <w:pStyle w:val="2"/>
        <w:spacing w:before="0" w:beforeLines="0" w:beforeAutospacing="0" w:after="0" w:afterLines="0" w:afterAutospacing="0" w:line="600" w:lineRule="exact"/>
        <w:ind w:firstLine="640" w:firstLineChars="200"/>
        <w:rPr>
          <w:rFonts w:hint="default" w:ascii="Times New Roman" w:hAnsi="Times New Roman" w:eastAsia="仿宋_GB2312" w:cs="Times New Roman"/>
          <w:color w:val="000000"/>
          <w:kern w:val="2"/>
          <w:sz w:val="32"/>
          <w:szCs w:val="32"/>
          <w:lang w:val="en-US" w:eastAsia="zh-CN" w:bidi="ar-SA"/>
        </w:rPr>
      </w:pPr>
      <w:r>
        <w:rPr>
          <w:rFonts w:hint="default" w:ascii="Times New Roman" w:hAnsi="Times New Roman" w:eastAsia="仿宋_GB2312" w:cs="Times New Roman"/>
          <w:color w:val="000000"/>
          <w:kern w:val="2"/>
          <w:sz w:val="32"/>
          <w:szCs w:val="32"/>
          <w:lang w:val="en-US" w:eastAsia="zh-CN" w:bidi="ar-SA"/>
        </w:rPr>
        <w:t>4</w:t>
      </w:r>
      <w:r>
        <w:rPr>
          <w:rFonts w:hint="eastAsia" w:ascii="Times New Roman" w:hAnsi="Times New Roman" w:eastAsia="仿宋_GB2312" w:cs="Times New Roman"/>
          <w:color w:val="000000"/>
          <w:kern w:val="2"/>
          <w:sz w:val="32"/>
          <w:szCs w:val="32"/>
          <w:lang w:val="en-US" w:eastAsia="zh-CN" w:bidi="ar-SA"/>
        </w:rPr>
        <w:t>.</w:t>
      </w:r>
      <w:r>
        <w:rPr>
          <w:rFonts w:hint="default" w:ascii="Times New Roman" w:hAnsi="Times New Roman" w:eastAsia="仿宋_GB2312" w:cs="Times New Roman"/>
          <w:color w:val="000000"/>
          <w:kern w:val="2"/>
          <w:sz w:val="32"/>
          <w:szCs w:val="32"/>
          <w:lang w:val="en-US" w:eastAsia="zh-CN" w:bidi="ar-SA"/>
        </w:rPr>
        <w:t>对本品及所含成份过敏者禁用。</w:t>
      </w:r>
    </w:p>
    <w:p w14:paraId="2C6DEC31">
      <w:pPr>
        <w:spacing w:beforeLines="0" w:afterLines="0" w:line="600" w:lineRule="exact"/>
        <w:ind w:firstLine="640"/>
        <w:jc w:val="left"/>
        <w:rPr>
          <w:rFonts w:hint="default" w:ascii="Times New Roman" w:hAnsi="Times New Roman" w:eastAsia="黑体" w:cs="Times New Roman"/>
          <w:bCs/>
          <w:sz w:val="32"/>
          <w:szCs w:val="32"/>
          <w:lang w:val="en-US" w:eastAsia="zh-CN"/>
        </w:rPr>
      </w:pPr>
      <w:r>
        <w:rPr>
          <w:rFonts w:hint="default" w:ascii="Times New Roman" w:hAnsi="Times New Roman" w:eastAsia="黑体" w:cs="Times New Roman"/>
          <w:bCs/>
          <w:sz w:val="32"/>
          <w:szCs w:val="32"/>
          <w:lang w:val="en-US" w:eastAsia="zh-CN"/>
        </w:rPr>
        <w:t>四、【注意事项】</w:t>
      </w:r>
      <w:r>
        <w:rPr>
          <w:rFonts w:hint="eastAsia" w:ascii="Times New Roman" w:hAnsi="Times New Roman" w:eastAsia="黑体" w:cs="Times New Roman"/>
          <w:bCs/>
          <w:sz w:val="32"/>
          <w:szCs w:val="32"/>
          <w:lang w:val="en-US" w:eastAsia="zh-CN"/>
        </w:rPr>
        <w:t>项</w:t>
      </w:r>
      <w:r>
        <w:rPr>
          <w:rFonts w:hint="default" w:ascii="Times New Roman" w:hAnsi="Times New Roman" w:eastAsia="黑体" w:cs="Times New Roman"/>
          <w:bCs/>
          <w:sz w:val="32"/>
          <w:szCs w:val="32"/>
          <w:lang w:val="en-US" w:eastAsia="zh-CN"/>
        </w:rPr>
        <w:t>应当包括</w:t>
      </w:r>
    </w:p>
    <w:p w14:paraId="0A981D81">
      <w:pPr>
        <w:pStyle w:val="2"/>
        <w:spacing w:before="0" w:beforeLines="0" w:beforeAutospacing="0" w:after="0" w:afterLines="0" w:afterAutospacing="0" w:line="600" w:lineRule="exact"/>
        <w:ind w:firstLine="640" w:firstLineChars="200"/>
        <w:rPr>
          <w:rFonts w:hint="default" w:ascii="Times New Roman" w:hAnsi="Times New Roman" w:eastAsia="仿宋_GB2312" w:cs="Times New Roman"/>
          <w:color w:val="000000"/>
          <w:kern w:val="2"/>
          <w:sz w:val="32"/>
          <w:szCs w:val="32"/>
          <w:lang w:val="en-US" w:eastAsia="zh-CN" w:bidi="ar-SA"/>
        </w:rPr>
      </w:pPr>
      <w:r>
        <w:rPr>
          <w:rFonts w:hint="default" w:ascii="Times New Roman" w:hAnsi="Times New Roman" w:eastAsia="仿宋_GB2312" w:cs="Times New Roman"/>
          <w:color w:val="000000"/>
          <w:kern w:val="2"/>
          <w:sz w:val="32"/>
          <w:szCs w:val="32"/>
          <w:lang w:val="en-US" w:eastAsia="zh-CN" w:bidi="ar-SA"/>
        </w:rPr>
        <w:t>1.严格按照用法用量服用，本品不宜超剂量或长期连续服用。</w:t>
      </w:r>
    </w:p>
    <w:p w14:paraId="470E0E8D">
      <w:pPr>
        <w:pStyle w:val="2"/>
        <w:spacing w:before="0" w:beforeLines="0" w:beforeAutospacing="0" w:after="0" w:afterLines="0" w:afterAutospacing="0" w:line="600" w:lineRule="exact"/>
        <w:ind w:firstLine="640" w:firstLineChars="200"/>
        <w:rPr>
          <w:rFonts w:hint="default" w:ascii="Times New Roman" w:hAnsi="Times New Roman" w:eastAsia="仿宋_GB2312" w:cs="Times New Roman"/>
          <w:color w:val="000000"/>
          <w:kern w:val="2"/>
          <w:sz w:val="32"/>
          <w:szCs w:val="32"/>
          <w:lang w:val="en-US" w:eastAsia="zh-CN" w:bidi="ar-SA"/>
        </w:rPr>
      </w:pPr>
      <w:r>
        <w:rPr>
          <w:rFonts w:hint="default" w:ascii="Times New Roman" w:hAnsi="Times New Roman" w:eastAsia="仿宋_GB2312" w:cs="Times New Roman"/>
          <w:color w:val="000000"/>
          <w:kern w:val="2"/>
          <w:sz w:val="32"/>
          <w:szCs w:val="32"/>
          <w:lang w:val="en-US" w:eastAsia="zh-CN" w:bidi="ar-SA"/>
        </w:rPr>
        <w:t>2.有肝病史或肝生化指标异常者慎用。</w:t>
      </w:r>
    </w:p>
    <w:p w14:paraId="2E212212">
      <w:pPr>
        <w:pStyle w:val="2"/>
        <w:spacing w:before="0" w:beforeLines="0" w:beforeAutospacing="0" w:after="0" w:afterLines="0" w:afterAutospacing="0" w:line="600" w:lineRule="exact"/>
        <w:ind w:firstLine="640" w:firstLineChars="200"/>
        <w:rPr>
          <w:rFonts w:hint="default" w:ascii="Times New Roman" w:hAnsi="Times New Roman" w:eastAsia="仿宋_GB2312" w:cs="Times New Roman"/>
          <w:color w:val="000000"/>
          <w:kern w:val="2"/>
          <w:sz w:val="32"/>
          <w:szCs w:val="32"/>
          <w:lang w:val="en-US" w:eastAsia="zh-CN" w:bidi="ar-SA"/>
        </w:rPr>
      </w:pPr>
      <w:r>
        <w:rPr>
          <w:rFonts w:hint="default" w:ascii="Times New Roman" w:hAnsi="Times New Roman" w:eastAsia="仿宋_GB2312" w:cs="Times New Roman"/>
          <w:color w:val="000000"/>
          <w:kern w:val="2"/>
          <w:sz w:val="32"/>
          <w:szCs w:val="32"/>
          <w:lang w:val="en-US" w:eastAsia="zh-CN" w:bidi="ar-SA"/>
        </w:rPr>
        <w:t>3.服药期间应注意监测肝生化指标，如发现肝生化指标异常或出现全身乏力、食欲不振、厌油腻、恶心、上腹胀痛、尿黄、目黄、皮肤黄染等可能与肝损伤有关的临床表现时，或原有肝生化指标异常、肝损伤临床症状加重时，应立即停药并就医。</w:t>
      </w:r>
    </w:p>
    <w:p w14:paraId="0FD1EA38">
      <w:pPr>
        <w:pStyle w:val="2"/>
        <w:spacing w:before="0" w:beforeLines="0" w:beforeAutospacing="0" w:after="0" w:afterLines="0" w:afterAutospacing="0" w:line="600" w:lineRule="exact"/>
        <w:ind w:firstLine="640" w:firstLineChars="200"/>
        <w:rPr>
          <w:rFonts w:hint="default" w:ascii="Times New Roman" w:hAnsi="Times New Roman" w:eastAsia="仿宋_GB2312" w:cs="Times New Roman"/>
          <w:color w:val="000000"/>
          <w:kern w:val="2"/>
          <w:sz w:val="32"/>
          <w:szCs w:val="32"/>
          <w:lang w:val="en-US" w:eastAsia="zh-CN" w:bidi="ar-SA"/>
        </w:rPr>
      </w:pPr>
      <w:r>
        <w:rPr>
          <w:rFonts w:hint="default" w:ascii="Times New Roman" w:hAnsi="Times New Roman" w:eastAsia="仿宋_GB2312" w:cs="Times New Roman"/>
          <w:color w:val="000000"/>
          <w:kern w:val="2"/>
          <w:sz w:val="32"/>
          <w:szCs w:val="32"/>
          <w:lang w:val="en-US" w:eastAsia="zh-CN" w:bidi="ar-SA"/>
        </w:rPr>
        <w:t>4.应当注意避免与有肝毒性的药物联合使用。</w:t>
      </w:r>
    </w:p>
    <w:p w14:paraId="2C6086D5">
      <w:pPr>
        <w:pStyle w:val="2"/>
        <w:spacing w:before="0" w:beforeLines="0" w:beforeAutospacing="0" w:after="0" w:afterLines="0" w:afterAutospacing="0" w:line="600" w:lineRule="exact"/>
        <w:ind w:firstLine="640" w:firstLineChars="200"/>
        <w:rPr>
          <w:rFonts w:hint="default" w:ascii="Times New Roman" w:hAnsi="Times New Roman" w:eastAsia="仿宋_GB2312" w:cs="Times New Roman"/>
          <w:color w:val="000000"/>
          <w:kern w:val="2"/>
          <w:sz w:val="32"/>
          <w:szCs w:val="32"/>
          <w:lang w:val="en-US" w:eastAsia="zh-CN" w:bidi="ar-SA"/>
        </w:rPr>
      </w:pPr>
      <w:r>
        <w:rPr>
          <w:rFonts w:hint="default" w:ascii="Times New Roman" w:hAnsi="Times New Roman" w:eastAsia="仿宋_GB2312" w:cs="Times New Roman"/>
          <w:color w:val="000000"/>
          <w:kern w:val="2"/>
          <w:sz w:val="32"/>
          <w:szCs w:val="32"/>
          <w:lang w:val="en-US" w:eastAsia="zh-CN" w:bidi="ar-SA"/>
        </w:rPr>
        <w:t>5.月经期妇女及异常子宫出血者慎用；有出血倾向者慎用。</w:t>
      </w:r>
    </w:p>
    <w:p w14:paraId="170DD0ED">
      <w:pPr>
        <w:pStyle w:val="2"/>
        <w:spacing w:before="0" w:beforeLines="0" w:beforeAutospacing="0" w:after="0" w:afterLines="0" w:afterAutospacing="0" w:line="600" w:lineRule="exact"/>
        <w:ind w:firstLine="640" w:firstLineChars="200"/>
        <w:rPr>
          <w:rFonts w:hint="default" w:ascii="Times New Roman" w:hAnsi="Times New Roman" w:eastAsia="仿宋_GB2312" w:cs="Times New Roman"/>
          <w:color w:val="000000"/>
          <w:kern w:val="2"/>
          <w:sz w:val="32"/>
          <w:szCs w:val="32"/>
          <w:lang w:val="en-US" w:eastAsia="zh-CN" w:bidi="ar-SA"/>
        </w:rPr>
      </w:pPr>
      <w:r>
        <w:rPr>
          <w:rFonts w:hint="default" w:ascii="Times New Roman" w:hAnsi="Times New Roman" w:eastAsia="仿宋_GB2312" w:cs="Times New Roman"/>
          <w:color w:val="000000"/>
          <w:kern w:val="2"/>
          <w:sz w:val="32"/>
          <w:szCs w:val="32"/>
          <w:lang w:val="en-US" w:eastAsia="zh-CN" w:bidi="ar-SA"/>
        </w:rPr>
        <w:t>6.本品含蔗糖，糖尿病患者慎用（如辅料含蔗糖）。</w:t>
      </w:r>
    </w:p>
    <w:p w14:paraId="1D1ACBD1">
      <w:pPr>
        <w:pStyle w:val="2"/>
        <w:spacing w:before="0" w:beforeLines="0" w:beforeAutospacing="0" w:after="0" w:afterLines="0" w:afterAutospacing="0" w:line="600" w:lineRule="exact"/>
        <w:ind w:firstLine="640" w:firstLineChars="200"/>
        <w:rPr>
          <w:rFonts w:hint="default" w:ascii="Times New Roman" w:hAnsi="Times New Roman" w:eastAsia="仿宋_GB2312" w:cs="Times New Roman"/>
          <w:color w:val="000000"/>
          <w:kern w:val="2"/>
          <w:sz w:val="32"/>
          <w:szCs w:val="32"/>
          <w:lang w:val="en-US" w:eastAsia="zh-CN" w:bidi="ar-SA"/>
        </w:rPr>
      </w:pPr>
      <w:r>
        <w:rPr>
          <w:rFonts w:hint="default" w:ascii="Times New Roman" w:hAnsi="Times New Roman" w:eastAsia="仿宋_GB2312" w:cs="Times New Roman"/>
          <w:color w:val="000000"/>
          <w:kern w:val="2"/>
          <w:sz w:val="32"/>
          <w:szCs w:val="32"/>
          <w:lang w:val="en-US" w:eastAsia="zh-CN" w:bidi="ar-SA"/>
        </w:rPr>
        <w:t>7.过敏体质者慎用。</w:t>
      </w:r>
    </w:p>
    <w:p w14:paraId="76A03714">
      <w:pPr>
        <w:pStyle w:val="2"/>
        <w:spacing w:before="0" w:beforeLines="0" w:beforeAutospacing="0" w:after="0" w:afterLines="0" w:afterAutospacing="0" w:line="600" w:lineRule="exact"/>
        <w:ind w:firstLine="640" w:firstLineChars="200"/>
        <w:rPr>
          <w:rFonts w:hint="default" w:ascii="Times New Roman" w:hAnsi="Times New Roman" w:eastAsia="仿宋_GB2312" w:cs="Times New Roman"/>
          <w:color w:val="000000"/>
          <w:kern w:val="2"/>
          <w:sz w:val="32"/>
          <w:szCs w:val="32"/>
          <w:lang w:val="en-US" w:eastAsia="zh-CN" w:bidi="ar-SA"/>
        </w:rPr>
      </w:pPr>
    </w:p>
    <w:p w14:paraId="3C0D5AAF">
      <w:pPr>
        <w:pStyle w:val="2"/>
        <w:spacing w:before="0" w:beforeLines="0" w:beforeAutospacing="0" w:after="0" w:afterLines="0" w:afterAutospacing="0" w:line="600" w:lineRule="exact"/>
        <w:ind w:firstLine="640" w:firstLineChars="200"/>
        <w:rPr>
          <w:rFonts w:ascii="Times New Roman" w:hAnsi="Times New Roman" w:eastAsia="仿宋" w:cs="Times New Roman"/>
          <w:color w:val="000000"/>
          <w:sz w:val="32"/>
        </w:rPr>
      </w:pPr>
      <w:r>
        <w:rPr>
          <w:rFonts w:hint="default" w:ascii="Times New Roman" w:hAnsi="Times New Roman" w:eastAsia="仿宋_GB2312" w:cs="Times New Roman"/>
          <w:color w:val="000000"/>
          <w:kern w:val="2"/>
          <w:sz w:val="32"/>
          <w:szCs w:val="32"/>
          <w:lang w:val="en-US" w:eastAsia="zh-CN" w:bidi="ar-SA"/>
        </w:rPr>
        <w:t>（注：如原批准说明书的安全性内容较本修订要求内容更全面或者更严格的，应当保留原批准内容，说明书其他内容如与上述修订要求不一致的，应当一并进行修订。）</w:t>
      </w:r>
    </w:p>
    <w:p w14:paraId="3E6D0DF8"/>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altName w:val="Arial Unicode MS"/>
    <w:panose1 w:val="03000509000000000000"/>
    <w:charset w:val="86"/>
    <w:family w:val="auto"/>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仿宋_GB2312">
    <w:altName w:val="仿宋"/>
    <w:panose1 w:val="02010609030101010101"/>
    <w:charset w:val="86"/>
    <w:family w:val="modern"/>
    <w:pitch w:val="default"/>
    <w:sig w:usb0="00000000" w:usb1="00000000" w:usb2="00000000" w:usb3="00000000" w:csb0="00040000" w:csb1="00000000"/>
  </w:font>
  <w:font w:name="Arial Unicode MS">
    <w:panose1 w:val="020B0604020202020204"/>
    <w:charset w:val="86"/>
    <w:family w:val="auto"/>
    <w:pitch w:val="default"/>
    <w:sig w:usb0="FFFFFFFF" w:usb1="E9FFFFFF" w:usb2="0000003F" w:usb3="00000000" w:csb0="603F01FF" w:csb1="FFFF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8035DC9"/>
    <w:rsid w:val="18765075"/>
    <w:rsid w:val="38035DC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Normal (Web)"/>
    <w:basedOn w:val="1"/>
    <w:qFormat/>
    <w:uiPriority w:val="99"/>
    <w:pPr>
      <w:spacing w:before="100" w:beforeAutospacing="1" w:after="100" w:afterAutospacing="1" w:line="360" w:lineRule="auto"/>
      <w:ind w:firstLine="0" w:firstLineChars="0"/>
      <w:jc w:val="left"/>
    </w:pPr>
    <w:rPr>
      <w:rFonts w:eastAsia="宋体"/>
      <w:kern w:val="0"/>
      <w:sz w:val="24"/>
      <w:szCs w:val="20"/>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A0A0A0"/>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585</Words>
  <Characters>602</Characters>
  <Lines>0</Lines>
  <Paragraphs>0</Paragraphs>
  <TotalTime>0</TotalTime>
  <ScaleCrop>false</ScaleCrop>
  <LinksUpToDate>false</LinksUpToDate>
  <CharactersWithSpaces>602</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2026-10-22T10:07:00Z</dcterms:created>
  <dc:creator>YU</dc:creator>
  <cp:lastModifiedBy>z</cp:lastModifiedBy>
  <dcterms:modified xsi:type="dcterms:W3CDTF">2026-10-28T00:30:51Z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35B70D0DF54E4B0CBFB86533CC85B76A_13</vt:lpwstr>
  </property>
  <property fmtid="{D5CDD505-2E9C-101B-9397-08002B2CF9AE}" pid="4" name="KSOTemplateDocerSaveRecord">
    <vt:lpwstr>eyJoZGlkIjoiNzUzMjcxYjI3MDRjMDIwZmVmYTgzNGM3MjE3OGJkMDMiLCJ1c2VySWQiOiIyNzgyMDExNzcifQ==</vt:lpwstr>
  </property>
</Properties>
</file>